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E961B5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52946179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E961B5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E961B5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0F7E05">
        <w:rPr>
          <w:sz w:val="32"/>
          <w:szCs w:val="32"/>
        </w:rPr>
        <w:t>0</w:t>
      </w:r>
      <w:r w:rsidR="00E43055">
        <w:rPr>
          <w:sz w:val="32"/>
          <w:szCs w:val="32"/>
        </w:rPr>
        <w:t>2</w:t>
      </w:r>
      <w:r w:rsidR="0036182E">
        <w:rPr>
          <w:sz w:val="32"/>
          <w:szCs w:val="32"/>
        </w:rPr>
        <w:t xml:space="preserve"> </w:t>
      </w:r>
      <w:r w:rsidR="00BC1565">
        <w:rPr>
          <w:sz w:val="32"/>
          <w:szCs w:val="32"/>
        </w:rPr>
        <w:t>/</w:t>
      </w:r>
      <w:r w:rsidR="0036182E">
        <w:rPr>
          <w:sz w:val="32"/>
          <w:szCs w:val="32"/>
        </w:rPr>
        <w:t xml:space="preserve"> </w:t>
      </w:r>
      <w:r w:rsidR="00E43055">
        <w:rPr>
          <w:sz w:val="32"/>
          <w:szCs w:val="32"/>
        </w:rPr>
        <w:t>24</w:t>
      </w:r>
      <w:r w:rsidR="000F7E05">
        <w:rPr>
          <w:sz w:val="32"/>
          <w:szCs w:val="32"/>
        </w:rPr>
        <w:t>.01.2014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562B44">
      <w:pPr>
        <w:pStyle w:val="a9"/>
        <w:tabs>
          <w:tab w:val="left" w:pos="0"/>
        </w:tabs>
        <w:ind w:left="-142" w:firstLine="142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0F7E05">
        <w:rPr>
          <w:sz w:val="24"/>
          <w:szCs w:val="24"/>
        </w:rPr>
        <w:t>06-</w:t>
      </w:r>
      <w:r w:rsidR="00E43055">
        <w:rPr>
          <w:sz w:val="24"/>
          <w:szCs w:val="24"/>
        </w:rPr>
        <w:t>0395/1/</w:t>
      </w:r>
      <w:r w:rsidR="0000614E">
        <w:rPr>
          <w:sz w:val="24"/>
          <w:szCs w:val="24"/>
          <w:lang w:val="en-US"/>
        </w:rPr>
        <w:t xml:space="preserve"> / </w:t>
      </w:r>
      <w:r w:rsidR="00E43055">
        <w:rPr>
          <w:sz w:val="24"/>
          <w:szCs w:val="24"/>
        </w:rPr>
        <w:t>10</w:t>
      </w:r>
      <w:r w:rsidR="000F7E05">
        <w:rPr>
          <w:sz w:val="24"/>
          <w:szCs w:val="24"/>
        </w:rPr>
        <w:t>.01.20</w:t>
      </w:r>
      <w:r w:rsidR="00073F85">
        <w:rPr>
          <w:sz w:val="24"/>
          <w:szCs w:val="24"/>
          <w:lang w:val="en-US"/>
        </w:rPr>
        <w:t>1</w:t>
      </w:r>
      <w:bookmarkStart w:id="0" w:name="_GoBack"/>
      <w:bookmarkEnd w:id="0"/>
      <w:r w:rsidR="00E43055">
        <w:rPr>
          <w:sz w:val="24"/>
          <w:szCs w:val="24"/>
        </w:rPr>
        <w:t>3</w:t>
      </w:r>
      <w:r w:rsidRPr="00C82B75">
        <w:rPr>
          <w:sz w:val="24"/>
          <w:szCs w:val="24"/>
        </w:rPr>
        <w:t xml:space="preserve"> г. за ползване на </w:t>
      </w:r>
      <w:r w:rsidR="00E43055">
        <w:rPr>
          <w:sz w:val="24"/>
          <w:szCs w:val="24"/>
        </w:rPr>
        <w:t>имот</w:t>
      </w:r>
      <w:r w:rsidRPr="00C82B75">
        <w:rPr>
          <w:sz w:val="24"/>
          <w:szCs w:val="24"/>
        </w:rPr>
        <w:t xml:space="preserve"> общинска собственост за </w:t>
      </w:r>
      <w:r w:rsidR="00562B44">
        <w:rPr>
          <w:sz w:val="24"/>
          <w:szCs w:val="24"/>
        </w:rPr>
        <w:t>търговска дейност</w:t>
      </w:r>
      <w:r w:rsidR="0036182E">
        <w:rPr>
          <w:sz w:val="24"/>
          <w:szCs w:val="24"/>
        </w:rPr>
        <w:t xml:space="preserve"> съгласно</w:t>
      </w:r>
      <w:r w:rsidRPr="00C82B75">
        <w:rPr>
          <w:sz w:val="24"/>
          <w:szCs w:val="24"/>
        </w:rPr>
        <w:t xml:space="preserve"> Раздел ІІ от ЗМДТ</w:t>
      </w:r>
      <w:r w:rsidR="0036182E">
        <w:rPr>
          <w:sz w:val="24"/>
          <w:szCs w:val="24"/>
        </w:rPr>
        <w:t xml:space="preserve"> </w:t>
      </w:r>
      <w:r w:rsidR="00562B44">
        <w:rPr>
          <w:sz w:val="24"/>
          <w:szCs w:val="24"/>
        </w:rPr>
        <w:t xml:space="preserve">, чрез поставяне на </w:t>
      </w:r>
      <w:r w:rsidR="00E43055">
        <w:rPr>
          <w:sz w:val="24"/>
          <w:szCs w:val="24"/>
        </w:rPr>
        <w:t xml:space="preserve">стационарен </w:t>
      </w:r>
      <w:proofErr w:type="spellStart"/>
      <w:r w:rsidR="00562B44">
        <w:rPr>
          <w:sz w:val="24"/>
          <w:szCs w:val="24"/>
        </w:rPr>
        <w:t>преместваем</w:t>
      </w:r>
      <w:proofErr w:type="spellEnd"/>
      <w:r w:rsidR="00562B44">
        <w:rPr>
          <w:sz w:val="24"/>
          <w:szCs w:val="24"/>
        </w:rPr>
        <w:t xml:space="preserve"> </w:t>
      </w:r>
      <w:r w:rsidR="00E43055">
        <w:rPr>
          <w:sz w:val="24"/>
          <w:szCs w:val="24"/>
        </w:rPr>
        <w:t>обект</w:t>
      </w:r>
      <w:r w:rsidR="00562B44">
        <w:rPr>
          <w:sz w:val="24"/>
          <w:szCs w:val="24"/>
        </w:rPr>
        <w:t xml:space="preserve"> за търговия по чл. 56 от ЗУТ</w:t>
      </w:r>
      <w:r w:rsidR="000F7E05">
        <w:rPr>
          <w:sz w:val="24"/>
          <w:szCs w:val="24"/>
        </w:rPr>
        <w:t xml:space="preserve"> 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</w:t>
      </w:r>
      <w:r w:rsidR="005A7E5D">
        <w:t>№ 13 ОА 555 / 04.03.2013 г. на кмета на о</w:t>
      </w:r>
      <w:r>
        <w:t xml:space="preserve">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B81830">
        <w:t>5821</w:t>
      </w:r>
      <w:r>
        <w:t xml:space="preserve"> / </w:t>
      </w:r>
      <w:r w:rsidR="00B81830">
        <w:t>23</w:t>
      </w:r>
      <w:r w:rsidR="000F7E05">
        <w:t>.01.2014</w:t>
      </w:r>
      <w:r>
        <w:t xml:space="preserve"> г., относно установяване на</w:t>
      </w:r>
      <w:r w:rsidRPr="005E5875">
        <w:t xml:space="preserve"> задължения</w:t>
      </w:r>
      <w:r w:rsidR="005A7E5D">
        <w:t xml:space="preserve"> по чл. 72 от ЗМДТ</w:t>
      </w:r>
      <w:r w:rsidR="00B64DA9">
        <w:t xml:space="preserve">, </w:t>
      </w:r>
      <w:proofErr w:type="spellStart"/>
      <w:r w:rsidR="00B64DA9">
        <w:t>относими</w:t>
      </w:r>
      <w:proofErr w:type="spellEnd"/>
      <w:r w:rsidR="00B64DA9">
        <w:t xml:space="preserve"> </w:t>
      </w:r>
      <w:r w:rsidR="00B81830">
        <w:t>към</w:t>
      </w:r>
      <w:r>
        <w:t xml:space="preserve"> Разрешение № </w:t>
      </w:r>
      <w:r w:rsidR="000F7E05">
        <w:t>06</w:t>
      </w:r>
      <w:r w:rsidR="00562B44">
        <w:t>-</w:t>
      </w:r>
      <w:r w:rsidR="00B81830">
        <w:t>0395/1/</w:t>
      </w:r>
      <w:r w:rsidR="007814FC">
        <w:t xml:space="preserve"> / </w:t>
      </w:r>
      <w:r w:rsidR="00B81830">
        <w:t>10.01.2013</w:t>
      </w:r>
      <w:r w:rsidR="00660CFA">
        <w:t xml:space="preserve"> </w:t>
      </w:r>
      <w:r>
        <w:t>г.</w:t>
      </w:r>
      <w:r w:rsidR="00562B44">
        <w:t xml:space="preserve"> за ползване на </w:t>
      </w:r>
      <w:r w:rsidR="00B81830">
        <w:t>имот</w:t>
      </w:r>
      <w:r w:rsidR="00562B44">
        <w:t xml:space="preserve"> общинска собственост за търговска дейност съгласно Раздел ІІ от ЗМДТ, чрез поставяне на </w:t>
      </w:r>
      <w:r w:rsidR="00B81830">
        <w:t xml:space="preserve">стационарен </w:t>
      </w:r>
      <w:proofErr w:type="spellStart"/>
      <w:r w:rsidR="00562B44">
        <w:t>преместваем</w:t>
      </w:r>
      <w:proofErr w:type="spellEnd"/>
      <w:r w:rsidR="00562B44">
        <w:t xml:space="preserve"> </w:t>
      </w:r>
      <w:r w:rsidR="00B81830">
        <w:t>обект</w:t>
      </w:r>
      <w:r w:rsidR="00562B44">
        <w:t xml:space="preserve"> за търговия по чл. 56 от ЗУТ</w:t>
      </w:r>
      <w:r w:rsidR="00B81830">
        <w:t xml:space="preserve">, </w:t>
      </w:r>
      <w:r w:rsidR="0036182E">
        <w:t>издаден</w:t>
      </w:r>
      <w:r w:rsidR="005E0693">
        <w:t>о</w:t>
      </w:r>
      <w:r w:rsidR="0036182E">
        <w:t xml:space="preserve"> на :</w:t>
      </w:r>
    </w:p>
    <w:p w:rsidR="00D8648E" w:rsidRDefault="00D8648E" w:rsidP="0043252D">
      <w:pPr>
        <w:pStyle w:val="a3"/>
        <w:jc w:val="both"/>
        <w:rPr>
          <w:b/>
        </w:rPr>
      </w:pPr>
    </w:p>
    <w:p w:rsidR="0036182E" w:rsidRDefault="000F7E05" w:rsidP="000F7E05">
      <w:pPr>
        <w:pStyle w:val="a3"/>
        <w:jc w:val="both"/>
        <w:rPr>
          <w:b/>
        </w:rPr>
      </w:pPr>
      <w:r>
        <w:rPr>
          <w:b/>
        </w:rPr>
        <w:t>„</w:t>
      </w:r>
      <w:r w:rsidR="00B81830">
        <w:rPr>
          <w:b/>
        </w:rPr>
        <w:t>СТАРИТЕ ЛЪВОВЕ</w:t>
      </w:r>
      <w:r>
        <w:rPr>
          <w:b/>
        </w:rPr>
        <w:t xml:space="preserve">”  ООД , </w:t>
      </w:r>
      <w:r w:rsidR="0000614E">
        <w:rPr>
          <w:b/>
        </w:rPr>
        <w:t>управлявано</w:t>
      </w:r>
      <w:r w:rsidR="0036182E">
        <w:rPr>
          <w:b/>
        </w:rPr>
        <w:t xml:space="preserve"> </w:t>
      </w:r>
      <w:r>
        <w:rPr>
          <w:b/>
        </w:rPr>
        <w:t xml:space="preserve">и представлявано </w:t>
      </w:r>
      <w:r w:rsidR="0036182E">
        <w:rPr>
          <w:b/>
        </w:rPr>
        <w:t xml:space="preserve">от </w:t>
      </w:r>
      <w:r>
        <w:rPr>
          <w:b/>
        </w:rPr>
        <w:t>управителя</w:t>
      </w:r>
      <w:r w:rsidR="00562B44">
        <w:rPr>
          <w:b/>
        </w:rPr>
        <w:t xml:space="preserve"> </w:t>
      </w:r>
      <w:r w:rsidR="00B81830">
        <w:rPr>
          <w:b/>
        </w:rPr>
        <w:t>Христо</w:t>
      </w:r>
      <w:r w:rsidR="00562B44">
        <w:rPr>
          <w:b/>
        </w:rPr>
        <w:t xml:space="preserve"> </w:t>
      </w:r>
      <w:r w:rsidR="00B81830">
        <w:rPr>
          <w:b/>
        </w:rPr>
        <w:t xml:space="preserve">Иванов </w:t>
      </w:r>
      <w:proofErr w:type="spellStart"/>
      <w:r w:rsidR="00B81830">
        <w:rPr>
          <w:b/>
        </w:rPr>
        <w:t>Вардев</w:t>
      </w:r>
      <w:proofErr w:type="spellEnd"/>
      <w:r w:rsidR="00562B44">
        <w:rPr>
          <w:b/>
        </w:rPr>
        <w:t xml:space="preserve"> </w:t>
      </w:r>
    </w:p>
    <w:p w:rsidR="00562B44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0F7E05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0F7E05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3</w:t>
            </w:r>
          </w:p>
        </w:tc>
        <w:tc>
          <w:tcPr>
            <w:tcW w:w="289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5045E4" w:rsidRPr="005E5875" w:rsidRDefault="00B81830" w:rsidP="0043252D">
            <w:pPr>
              <w:pStyle w:val="a3"/>
              <w:jc w:val="both"/>
            </w:pPr>
            <w:r>
              <w:t>4</w:t>
            </w:r>
          </w:p>
        </w:tc>
        <w:tc>
          <w:tcPr>
            <w:tcW w:w="288" w:type="dxa"/>
            <w:vAlign w:val="center"/>
          </w:tcPr>
          <w:p w:rsidR="005045E4" w:rsidRPr="005E5875" w:rsidRDefault="00B81830" w:rsidP="007351F7">
            <w:pPr>
              <w:pStyle w:val="a3"/>
              <w:jc w:val="both"/>
            </w:pPr>
            <w:r>
              <w:t>3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Pr="005E5875" w:rsidRDefault="0065417B" w:rsidP="00B81830">
            <w:pPr>
              <w:pStyle w:val="a3"/>
              <w:tabs>
                <w:tab w:val="left" w:pos="2600"/>
              </w:tabs>
              <w:jc w:val="both"/>
            </w:pPr>
            <w:r>
              <w:t xml:space="preserve"> </w:t>
            </w:r>
            <w:r w:rsidR="000F7E05">
              <w:t xml:space="preserve">      </w:t>
            </w:r>
            <w:r w:rsidR="0036182E">
              <w:rPr>
                <w:szCs w:val="24"/>
              </w:rPr>
              <w:t>Със седалище и адрес на управление</w:t>
            </w:r>
            <w:r w:rsidR="0036182E" w:rsidRPr="004665AB">
              <w:rPr>
                <w:szCs w:val="24"/>
              </w:rPr>
              <w:t xml:space="preserve">:  </w:t>
            </w:r>
            <w:r w:rsidR="00B81830">
              <w:rPr>
                <w:szCs w:val="24"/>
              </w:rPr>
              <w:t>гр. Пловдив, район „Централен“</w:t>
            </w:r>
            <w:r w:rsidR="000F7E05">
              <w:rPr>
                <w:szCs w:val="24"/>
              </w:rPr>
              <w:t>, бул.</w:t>
            </w:r>
            <w:r w:rsidR="000F7E05" w:rsidRPr="004665AB">
              <w:rPr>
                <w:szCs w:val="24"/>
              </w:rPr>
              <w:t xml:space="preserve">, </w:t>
            </w:r>
            <w:r w:rsidR="000F7E05" w:rsidRPr="004665AB">
              <w:t>„</w:t>
            </w:r>
            <w:r w:rsidR="00B81830">
              <w:t>Марица</w:t>
            </w:r>
            <w:r w:rsidR="000F7E05">
              <w:t xml:space="preserve">“ № </w:t>
            </w:r>
            <w:r w:rsidR="00B81830">
              <w:t>136, вход Б, ет. 4, ап. 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82E" w:rsidRDefault="0036182E" w:rsidP="0043252D">
            <w:pPr>
              <w:pStyle w:val="a3"/>
              <w:jc w:val="both"/>
            </w:pPr>
          </w:p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>друго предназначение</w:t>
      </w:r>
      <w:r w:rsidR="00565773">
        <w:t>, които са общинска собственост</w:t>
      </w:r>
      <w:r w:rsidR="00B64DA9">
        <w:t xml:space="preserve">, </w:t>
      </w:r>
      <w:proofErr w:type="spellStart"/>
      <w:r w:rsidR="00B64DA9">
        <w:t>относими</w:t>
      </w:r>
      <w:proofErr w:type="spellEnd"/>
      <w:r w:rsidR="008D2787">
        <w:t xml:space="preserve"> </w:t>
      </w:r>
      <w:r w:rsidR="00B81830">
        <w:t>към</w:t>
      </w:r>
      <w:r w:rsidR="00A2546B">
        <w:t xml:space="preserve"> </w:t>
      </w:r>
      <w:r w:rsidR="00562B44">
        <w:t xml:space="preserve">Разрешение № </w:t>
      </w:r>
      <w:r w:rsidR="000F7E05">
        <w:t>06-</w:t>
      </w:r>
      <w:r w:rsidR="00B81830">
        <w:t>0395/1/</w:t>
      </w:r>
      <w:r w:rsidR="000F7E05">
        <w:t xml:space="preserve"> / </w:t>
      </w:r>
      <w:r w:rsidR="00B81830">
        <w:t>10</w:t>
      </w:r>
      <w:r w:rsidR="000F7E05">
        <w:t>.01.20</w:t>
      </w:r>
      <w:r w:rsidR="00B81830">
        <w:t>13</w:t>
      </w:r>
      <w:r w:rsidR="000F7E05">
        <w:t xml:space="preserve"> г.</w:t>
      </w:r>
      <w:r w:rsidR="00562B44">
        <w:t xml:space="preserve"> за ползване на </w:t>
      </w:r>
      <w:r w:rsidR="00B81830">
        <w:t>имот</w:t>
      </w:r>
      <w:r w:rsidR="00562B44">
        <w:t xml:space="preserve"> общинска собственост за търговска дейност съгласно Раздел ІІ от ЗМДТ, чрез поставяне на </w:t>
      </w:r>
      <w:r w:rsidR="00B81830">
        <w:t xml:space="preserve">стационарен </w:t>
      </w:r>
      <w:proofErr w:type="spellStart"/>
      <w:r w:rsidR="00562B44">
        <w:t>преместваем</w:t>
      </w:r>
      <w:proofErr w:type="spellEnd"/>
      <w:r w:rsidR="00562B44">
        <w:t xml:space="preserve"> </w:t>
      </w:r>
      <w:r w:rsidR="00B81830">
        <w:t>обект</w:t>
      </w:r>
      <w:r w:rsidR="00562B44">
        <w:t xml:space="preserve"> за търговия по чл. 56 от ЗУТ</w:t>
      </w:r>
      <w:r w:rsidR="001A21FB">
        <w:t>, издадено</w:t>
      </w:r>
      <w:r w:rsidR="008D2787">
        <w:t xml:space="preserve"> въз основа на </w:t>
      </w:r>
      <w:r w:rsidR="00B81830">
        <w:t>заявление</w:t>
      </w:r>
      <w:r w:rsidR="008D2787">
        <w:t xml:space="preserve"> </w:t>
      </w:r>
      <w:r w:rsidR="00A2546B">
        <w:t xml:space="preserve">с </w:t>
      </w:r>
      <w:r w:rsidR="000F7E05">
        <w:t>№ 6-9400-</w:t>
      </w:r>
      <w:r w:rsidR="00B81830">
        <w:t>50</w:t>
      </w:r>
      <w:r w:rsidR="000F7E05">
        <w:t xml:space="preserve"> / </w:t>
      </w:r>
      <w:r w:rsidR="00B81830">
        <w:t>09.01.2013</w:t>
      </w:r>
      <w:r w:rsidR="000F7E05">
        <w:t xml:space="preserve"> г.</w:t>
      </w:r>
      <w:r w:rsidR="00113417">
        <w:t xml:space="preserve"> </w:t>
      </w:r>
      <w:r w:rsidR="000F7E05">
        <w:t>до к</w:t>
      </w:r>
      <w:r w:rsidR="00565773">
        <w:t xml:space="preserve">мета на </w:t>
      </w:r>
      <w:r w:rsidR="000F7E05">
        <w:t xml:space="preserve">район „Тракия“, </w:t>
      </w:r>
      <w:r w:rsidR="00565773">
        <w:t>о</w:t>
      </w:r>
      <w:r w:rsidR="004A2407">
        <w:t xml:space="preserve">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660CFA" w:rsidRDefault="0000614E" w:rsidP="00113417">
      <w:pPr>
        <w:pStyle w:val="a3"/>
        <w:jc w:val="both"/>
      </w:pPr>
      <w:r>
        <w:t xml:space="preserve">       </w:t>
      </w:r>
      <w:r w:rsidR="00113417">
        <w:t>Съгласно подаден</w:t>
      </w:r>
      <w:r w:rsidR="00B81830">
        <w:t>о</w:t>
      </w:r>
      <w:r w:rsidR="00113417">
        <w:t xml:space="preserve"> </w:t>
      </w:r>
      <w:r w:rsidR="00B81830">
        <w:t xml:space="preserve">Заявление с вх. № 6-9400-50 / 09.01.2013 г. до кмета на район „Тракия“, Община Пловдив г-н Христо Иванов </w:t>
      </w:r>
      <w:proofErr w:type="spellStart"/>
      <w:r w:rsidR="00B81830">
        <w:t>Вардев</w:t>
      </w:r>
      <w:proofErr w:type="spellEnd"/>
      <w:r w:rsidR="00B81830">
        <w:t xml:space="preserve">, в качеството си на управител на „СТАРИТЕ ЛЪВОВЕ” ООД с ЕИК 202321843, със седалище и адрес на управление: гр. Пловдив, район „Централен“, бул. „Марица“ № 136, вход Б, ет. 4, ап. 11, е изразил искане за преиздаване на Разрешение № 06 – 0395 / 30.09.2010 г. за ползване на имот общинска собственост за търговска дейност чрез поставяне на </w:t>
      </w:r>
      <w:proofErr w:type="spellStart"/>
      <w:r w:rsidR="00B81830">
        <w:t>преместваем</w:t>
      </w:r>
      <w:proofErr w:type="spellEnd"/>
      <w:r w:rsidR="00B81830">
        <w:t xml:space="preserve"> обект за търговия по чл. </w:t>
      </w:r>
    </w:p>
    <w:p w:rsidR="00B81830" w:rsidRDefault="00B81830" w:rsidP="00113417">
      <w:pPr>
        <w:pStyle w:val="a3"/>
        <w:jc w:val="both"/>
      </w:pPr>
      <w:r>
        <w:lastRenderedPageBreak/>
        <w:t>56 от ЗУТ, издадено на фирма ЕТ „ГИМЕЦЕР 2002 – ГИНКА ИВАНОВА“</w:t>
      </w:r>
      <w:r w:rsidR="00660CFA">
        <w:t xml:space="preserve"> на името на представляваното от него дружество „СТАРИТЕ ЛЪВОВЕ“ ООД</w:t>
      </w:r>
      <w:r w:rsidR="00EE7A68">
        <w:t xml:space="preserve"> с ЕИК 202321843</w:t>
      </w:r>
      <w:r w:rsidR="00660CFA">
        <w:t>.</w:t>
      </w:r>
      <w:r>
        <w:t xml:space="preserve"> </w:t>
      </w:r>
      <w:r w:rsidR="00646005">
        <w:t xml:space="preserve"> </w:t>
      </w:r>
    </w:p>
    <w:p w:rsidR="00B81830" w:rsidRDefault="00646005" w:rsidP="00B81830">
      <w:pPr>
        <w:pStyle w:val="a3"/>
        <w:jc w:val="both"/>
      </w:pPr>
      <w:r>
        <w:t xml:space="preserve">         </w:t>
      </w:r>
      <w:r w:rsidR="00B81830">
        <w:t xml:space="preserve">Основание за искането е обстоятелството, че на 27.12.2012 г. дружество „СТАРИТЕ ЛЪВОВЕ“ ООД е сключило договор за покупко-продажба на притежавания от фирма ЕТ „ГИМЕЦЕР 2002 – ГИНКА ИВАНОВА“ с ЕИК 115758176 </w:t>
      </w:r>
      <w:proofErr w:type="spellStart"/>
      <w:r w:rsidR="00B81830">
        <w:t>преместваем</w:t>
      </w:r>
      <w:proofErr w:type="spellEnd"/>
      <w:r w:rsidR="00B81830">
        <w:t xml:space="preserve"> стационарен обект „Павилион за закуски“</w:t>
      </w:r>
      <w:r w:rsidR="00EE7A68">
        <w:t>, разположен върху имот общинска собственост.</w:t>
      </w:r>
    </w:p>
    <w:p w:rsidR="00B81830" w:rsidRDefault="00B81830" w:rsidP="00B81830">
      <w:pPr>
        <w:pStyle w:val="a3"/>
        <w:jc w:val="both"/>
      </w:pPr>
      <w:r>
        <w:t xml:space="preserve">         В отговор на заявлението, от кмета на район „Тракия“, община Пловдив е издадено Разрешение № 06-0395/1/ / 10.01.2013 г. за ползване на имот общинска собственост с площ от 15 кв.м, намиращ се в гр. Пловдив, ЖР „Тракия“, УПИ </w:t>
      </w:r>
      <w:r>
        <w:rPr>
          <w:lang w:val="en-US"/>
        </w:rPr>
        <w:t>I</w:t>
      </w:r>
      <w:r>
        <w:t xml:space="preserve"> - комплексно застрояване, кв.5, А-1,2,3, терен № 3, на основание одобрена схема от Главния архитект на район „Тракия“, чрез поставяне на стационарен </w:t>
      </w:r>
      <w:proofErr w:type="spellStart"/>
      <w:r>
        <w:t>преместваем</w:t>
      </w:r>
      <w:proofErr w:type="spellEnd"/>
      <w:r>
        <w:t xml:space="preserve"> обект – павилион,</w:t>
      </w:r>
      <w:r w:rsidRPr="00AD6E65">
        <w:t xml:space="preserve"> </w:t>
      </w:r>
      <w:r>
        <w:t xml:space="preserve">с предназначение </w:t>
      </w:r>
      <w:r w:rsidRPr="00AD6E65">
        <w:t xml:space="preserve"> –</w:t>
      </w:r>
      <w:r>
        <w:t xml:space="preserve"> търговия със закуски.</w:t>
      </w:r>
    </w:p>
    <w:p w:rsidR="00B81830" w:rsidRDefault="00B81830" w:rsidP="00B81830">
      <w:pPr>
        <w:pStyle w:val="a3"/>
        <w:jc w:val="both"/>
      </w:pPr>
      <w:r>
        <w:t xml:space="preserve">      Разрешение № 06-0395/1/ / 10.01.2013 г. е получено от ползвателя, което обстоятелство е удостоверено чрез положен подпис на управителя г-н </w:t>
      </w:r>
      <w:proofErr w:type="spellStart"/>
      <w:r>
        <w:t>Вардев</w:t>
      </w:r>
      <w:proofErr w:type="spellEnd"/>
      <w:r>
        <w:t xml:space="preserve"> върху документа, срещу реквизит „Запознат съм с условията и съм съгласен с тях“. Разрешение № 06-0395/1/ / 10.01.2013 г. за ползване на имот общинска собственост за търговска дейност е </w:t>
      </w:r>
      <w:r w:rsidRPr="00F115B9">
        <w:rPr>
          <w:b/>
          <w:i/>
        </w:rPr>
        <w:t>валидно за</w:t>
      </w:r>
      <w:r>
        <w:t xml:space="preserve"> </w:t>
      </w:r>
      <w:r w:rsidRPr="00F115B9">
        <w:rPr>
          <w:b/>
          <w:i/>
        </w:rPr>
        <w:t xml:space="preserve">срок от </w:t>
      </w:r>
      <w:r>
        <w:rPr>
          <w:b/>
          <w:i/>
        </w:rPr>
        <w:t>10</w:t>
      </w:r>
      <w:r w:rsidRPr="00F115B9">
        <w:rPr>
          <w:b/>
          <w:i/>
        </w:rPr>
        <w:t>.01.20</w:t>
      </w:r>
      <w:r>
        <w:rPr>
          <w:b/>
          <w:i/>
        </w:rPr>
        <w:t>13</w:t>
      </w:r>
      <w:r w:rsidRPr="00F115B9">
        <w:rPr>
          <w:b/>
          <w:i/>
        </w:rPr>
        <w:t xml:space="preserve"> г. до </w:t>
      </w:r>
      <w:r>
        <w:rPr>
          <w:b/>
          <w:i/>
        </w:rPr>
        <w:t>26.09.2015</w:t>
      </w:r>
      <w:r w:rsidRPr="00F115B9">
        <w:rPr>
          <w:b/>
          <w:i/>
        </w:rPr>
        <w:t xml:space="preserve"> г.</w:t>
      </w:r>
      <w:r>
        <w:t xml:space="preserve"> </w:t>
      </w:r>
    </w:p>
    <w:p w:rsidR="00B81830" w:rsidRPr="00C1783C" w:rsidRDefault="00B81830" w:rsidP="00B81830">
      <w:pPr>
        <w:pStyle w:val="a3"/>
        <w:jc w:val="both"/>
      </w:pPr>
      <w:r>
        <w:t xml:space="preserve">      През периода на ползването на имота общинска собственост юридическото лице „СТАРИТЕ ЛЪВОВЕ” ООД с ЕИК 202321843 трябва да заплаща в срок до 20-то число на всеки месец такса в размер на 495,00 лв. /четиристотин деветдесет и пет лева и нула стотинки/ с ДДС, представляваща таксата, достигната на проведен на 27.07.2010 г. търг с явно наддаване за определяне на началния ползвател на терен № 3 – частна общинска собственост по реда на Раздел </w:t>
      </w:r>
      <w:r>
        <w:rPr>
          <w:lang w:val="en-US"/>
        </w:rPr>
        <w:t>V</w:t>
      </w:r>
      <w:r>
        <w:t xml:space="preserve"> от Наредба за разполагане на </w:t>
      </w:r>
      <w:proofErr w:type="spellStart"/>
      <w:r>
        <w:t>преместваеми</w:t>
      </w:r>
      <w:proofErr w:type="spellEnd"/>
      <w:r>
        <w:t xml:space="preserve"> обекти за търговски и други обслужващи дейности и елементите на градското обзавеждане /НРПОТДОДЕГО/ на територията на община Пловдив, в случая ЕТ „ГИМЕЦЕР 2002-ГИНКА ИВАНОВА“.</w:t>
      </w:r>
    </w:p>
    <w:p w:rsidR="00B81830" w:rsidRDefault="00B81830" w:rsidP="00B81830">
      <w:pPr>
        <w:pStyle w:val="a3"/>
        <w:jc w:val="both"/>
      </w:pPr>
      <w:r>
        <w:t xml:space="preserve">      Разрешение № 06-0395/1/ / 10.01.2013 г. за ползване на имот общинска собственост е въведено във финансово-счетоводната програма на район „Тракия“ в регистър разрешения за терен за търговия, като в съответствие със срока на действието му е записван месечен финансов план, представляващ размера на месечното задължение на „СТАРИТЕ ЛЪВОВЕ” ООД с ЕИК 202321843 по чл. 72 от ЗМДТ – такса за  ползването на терена общинска собственост. </w:t>
      </w:r>
    </w:p>
    <w:p w:rsidR="00113417" w:rsidRPr="00F115B9" w:rsidRDefault="00A85EE9" w:rsidP="00113417">
      <w:pPr>
        <w:pStyle w:val="a3"/>
        <w:jc w:val="both"/>
        <w:rPr>
          <w:i/>
        </w:rPr>
      </w:pPr>
      <w:r>
        <w:t xml:space="preserve">       Изпратени са две уведомителни писма със следните изх. номера: № 6-7000-379 / 13.05.2013 г. от кмета на район „Тракия“, община Пловдив и № 13 РТ 183/2 / 20.08.2013 г. от органа по приходите при община Пловдив, с върнати обратни разписки с отметка на лицензиран пощенски оператор „Пратката не е потърсена от получателя“, като и двете съобщения указват размера на задължението на дружество „СТАРИТЕ ЛЪВОВЕ“ ООД с ЕИК 202321843, както и приканват същото доброволно </w:t>
      </w:r>
      <w:r w:rsidR="00660CFA">
        <w:t xml:space="preserve">да </w:t>
      </w:r>
      <w:r>
        <w:t>запла</w:t>
      </w:r>
      <w:r w:rsidR="00660CFA">
        <w:t xml:space="preserve">ти </w:t>
      </w:r>
      <w:r>
        <w:t xml:space="preserve"> просрочените такси.</w:t>
      </w:r>
    </w:p>
    <w:p w:rsidR="00E014F8" w:rsidRPr="000C0C37" w:rsidRDefault="00E014F8" w:rsidP="00E014F8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>чл. 6, ал. 1, т. б) на</w:t>
      </w:r>
      <w:r w:rsidRPr="000C0C37">
        <w:t xml:space="preserve"> </w:t>
      </w:r>
      <w:r>
        <w:t>Р</w:t>
      </w:r>
      <w:r w:rsidRPr="000C0C37">
        <w:t xml:space="preserve">аздел ІІ </w:t>
      </w:r>
      <w:r>
        <w:t>на</w:t>
      </w:r>
      <w:r w:rsidRPr="000C0C37">
        <w:t xml:space="preserve"> Глава първа на Закона за </w:t>
      </w:r>
      <w:r>
        <w:t xml:space="preserve">местните данъци и такси (ЗМДТ) общините събират местни такси за ползване на пазари, тържища, панаири, тротоари , площади и улични платна. </w:t>
      </w:r>
    </w:p>
    <w:p w:rsidR="00E014F8" w:rsidRDefault="00E014F8" w:rsidP="00E014F8">
      <w:pPr>
        <w:pStyle w:val="a3"/>
        <w:jc w:val="both"/>
      </w:pPr>
      <w:r>
        <w:rPr>
          <w:lang w:val="en-US"/>
        </w:rPr>
        <w:t xml:space="preserve">        </w:t>
      </w:r>
      <w:r>
        <w:t xml:space="preserve">Съгласно чл. 72 от същия закон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E014F8" w:rsidRDefault="00E014F8" w:rsidP="00E014F8">
      <w:pPr>
        <w:pStyle w:val="a3"/>
        <w:jc w:val="both"/>
      </w:pPr>
      <w:r>
        <w:t xml:space="preserve">  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E014F8" w:rsidRDefault="00E014F8" w:rsidP="00E014F8">
      <w:pPr>
        <w:pStyle w:val="a3"/>
        <w:jc w:val="both"/>
      </w:pPr>
      <w: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8B29DA" w:rsidRDefault="00E014F8" w:rsidP="008B29DA">
      <w:pPr>
        <w:pStyle w:val="a3"/>
        <w:jc w:val="both"/>
      </w:pPr>
      <w:r>
        <w:rPr>
          <w:lang w:val="en-US"/>
        </w:rPr>
        <w:t xml:space="preserve">         </w:t>
      </w:r>
      <w:r w:rsidR="008B29DA">
        <w:t xml:space="preserve">         По повод разглеждания случай, следва да се има предвид обстоятелството, че дружество „СТАРИТЕ ЛЪВОВЕ“ ООД с ЕИК 202321843 придобива правото на ползване на терена общинска собственост в резултат на нотариално заверено прехвърляне на собствеността върху </w:t>
      </w:r>
      <w:proofErr w:type="spellStart"/>
      <w:r w:rsidR="008B29DA">
        <w:t>преместваемия</w:t>
      </w:r>
      <w:proofErr w:type="spellEnd"/>
      <w:r w:rsidR="008B29DA">
        <w:t xml:space="preserve"> обект, </w:t>
      </w:r>
      <w:proofErr w:type="spellStart"/>
      <w:r w:rsidR="008B29DA">
        <w:t>обективирано</w:t>
      </w:r>
      <w:proofErr w:type="spellEnd"/>
      <w:r w:rsidR="008B29DA">
        <w:t xml:space="preserve"> в Договор за покупко-продажба на </w:t>
      </w:r>
      <w:proofErr w:type="spellStart"/>
      <w:r w:rsidR="008B29DA">
        <w:t>преместваем</w:t>
      </w:r>
      <w:proofErr w:type="spellEnd"/>
      <w:r w:rsidR="008B29DA">
        <w:t xml:space="preserve"> обект, сключен между „СТАРИТЕ ЛЪВОВЕ“ ООД и ЕТ „ГИМЕЦЕР 2002 – ГИНКА ИВАНОВА“. В този аспект е необходимо да се отбележи, че първоначалният </w:t>
      </w:r>
      <w:r w:rsidR="008B29DA">
        <w:lastRenderedPageBreak/>
        <w:t xml:space="preserve">ползвател на терена ЕТ „ГИМЕЦЕР 2002 – ГИНКА ИВАНОВА“ е определен на основание </w:t>
      </w:r>
      <w:r w:rsidR="008B29DA" w:rsidRPr="0002766F">
        <w:rPr>
          <w:i/>
        </w:rPr>
        <w:t>проведен на 27.07.2010 г. търг с явно наддаване</w:t>
      </w:r>
      <w:r w:rsidR="008B29DA">
        <w:t xml:space="preserve"> по реда на Раздел </w:t>
      </w:r>
      <w:r w:rsidR="008B29DA">
        <w:rPr>
          <w:lang w:val="en-US"/>
        </w:rPr>
        <w:t>V</w:t>
      </w:r>
      <w:r w:rsidR="008B29DA">
        <w:t>от НРПОТДОДЕГО на територията на община Пловдив,  като определянето на началната такса е извършено в съответствие с разпоредбите на текста на чл.20, ал.4 (отм.), във връзка с чл. 20, ал. 2 и ал. 3(изм. и доп.) от Наредбата за определянето и администрирането на местните такси и цени на услуги на територията на Община Пловдив, а именно:</w:t>
      </w:r>
      <w:r w:rsidR="008B29DA" w:rsidRPr="00B52CE0">
        <w:t xml:space="preserve"> </w:t>
      </w:r>
      <w:r w:rsidR="008B29DA">
        <w:t>такса</w:t>
      </w:r>
      <w:r w:rsidR="008B29DA"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 w:rsidR="008B29DA">
        <w:t xml:space="preserve">в лева </w:t>
      </w:r>
      <w:r w:rsidR="008B29DA" w:rsidRPr="00B52CE0">
        <w:t>на квадратен метър съгласно Приложение №2</w:t>
      </w:r>
      <w:r w:rsidR="008B29DA">
        <w:rPr>
          <w:lang w:val="en-US"/>
        </w:rPr>
        <w:t>(</w:t>
      </w:r>
      <w:r w:rsidR="008B29DA">
        <w:t>отм.</w:t>
      </w:r>
      <w:r w:rsidR="008B29DA">
        <w:rPr>
          <w:lang w:val="en-US"/>
        </w:rPr>
        <w:t>)</w:t>
      </w:r>
      <w:r w:rsidR="008B29DA" w:rsidRPr="00B52CE0">
        <w:t xml:space="preserve"> </w:t>
      </w:r>
      <w:r w:rsidR="008B29DA">
        <w:t xml:space="preserve">от тази Наредба, в зависимост от площта и местонахождението на имота, т.е. зоната, в която попада обектът, съгласно обхвата на зоните, определен с Решение № 149/2000 г. на Общински съвет – Пловдив (отм.). В конкретния случай обектът попада във Втора зона, съгласно обхвата на зоните, определен с Решение № 149 / 2000 г. (отм.) на Общински съвет – Пловдив. </w:t>
      </w:r>
    </w:p>
    <w:p w:rsidR="008B29DA" w:rsidRDefault="008B29DA" w:rsidP="008B29DA">
      <w:pPr>
        <w:pStyle w:val="a3"/>
        <w:jc w:val="both"/>
        <w:rPr>
          <w:b/>
          <w:u w:val="single"/>
        </w:rPr>
      </w:pPr>
    </w:p>
    <w:p w:rsidR="008B29DA" w:rsidRDefault="008B29DA" w:rsidP="008B29DA">
      <w:pPr>
        <w:pStyle w:val="a3"/>
        <w:jc w:val="both"/>
        <w:rPr>
          <w:b/>
          <w:u w:val="single"/>
        </w:rPr>
      </w:pPr>
      <w:r w:rsidRPr="0023283A">
        <w:rPr>
          <w:b/>
          <w:u w:val="single"/>
        </w:rPr>
        <w:t>Ето защо:</w:t>
      </w:r>
    </w:p>
    <w:p w:rsidR="008B29DA" w:rsidRPr="0023283A" w:rsidRDefault="008B29DA" w:rsidP="008B29DA">
      <w:pPr>
        <w:pStyle w:val="a3"/>
        <w:tabs>
          <w:tab w:val="left" w:pos="284"/>
        </w:tabs>
        <w:jc w:val="both"/>
        <w:rPr>
          <w:b/>
          <w:u w:val="single"/>
        </w:rPr>
      </w:pPr>
    </w:p>
    <w:p w:rsidR="008B29DA" w:rsidRDefault="008B29DA" w:rsidP="008B29D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0C6C84">
        <w:rPr>
          <w:b/>
          <w:szCs w:val="24"/>
        </w:rPr>
        <w:t>Към 27.07.2010 г.</w:t>
      </w:r>
      <w:r>
        <w:rPr>
          <w:szCs w:val="24"/>
        </w:rPr>
        <w:t xml:space="preserve"> /датата на провеждане на търга за определяне на първия ползвател на имота общинска собственост/ - Съгласно т. 3 , буква в</w:t>
      </w:r>
      <w:r w:rsidRPr="00E40E8F">
        <w:rPr>
          <w:szCs w:val="24"/>
        </w:rPr>
        <w:t>/ на Приложение № 2</w:t>
      </w:r>
      <w:r w:rsidRPr="00E40E8F">
        <w:rPr>
          <w:szCs w:val="24"/>
          <w:lang w:val="en-US"/>
        </w:rPr>
        <w:t xml:space="preserve"> </w:t>
      </w:r>
      <w:r w:rsidRPr="00E40E8F">
        <w:rPr>
          <w:szCs w:val="24"/>
        </w:rPr>
        <w:t xml:space="preserve">от Решение № </w:t>
      </w:r>
      <w:r>
        <w:rPr>
          <w:szCs w:val="24"/>
        </w:rPr>
        <w:t>6</w:t>
      </w:r>
      <w:r w:rsidRPr="00E40E8F">
        <w:rPr>
          <w:szCs w:val="24"/>
        </w:rPr>
        <w:t>, взето с протокол № 1 от 22.</w:t>
      </w:r>
      <w:r>
        <w:rPr>
          <w:szCs w:val="24"/>
        </w:rPr>
        <w:t>01</w:t>
      </w:r>
      <w:r w:rsidRPr="00E40E8F">
        <w:rPr>
          <w:szCs w:val="24"/>
        </w:rPr>
        <w:t>.200</w:t>
      </w:r>
      <w:r>
        <w:rPr>
          <w:szCs w:val="24"/>
        </w:rPr>
        <w:t>9</w:t>
      </w:r>
      <w:r w:rsidRPr="00E40E8F">
        <w:rPr>
          <w:szCs w:val="24"/>
        </w:rPr>
        <w:t xml:space="preserve"> г. на Общински съвет – Пловдив, </w:t>
      </w:r>
      <w:r>
        <w:rPr>
          <w:b/>
          <w:szCs w:val="24"/>
        </w:rPr>
        <w:t>началният размер</w:t>
      </w:r>
      <w:r w:rsidRPr="00E40E8F">
        <w:rPr>
          <w:szCs w:val="24"/>
        </w:rPr>
        <w:t xml:space="preserve"> на таксата за ползване на терени за търговска дейност с всички останали дейности </w:t>
      </w:r>
      <w:r w:rsidRPr="00E40E8F">
        <w:rPr>
          <w:b/>
          <w:szCs w:val="24"/>
        </w:rPr>
        <w:t xml:space="preserve">за  Втора зона е </w:t>
      </w:r>
      <w:r>
        <w:rPr>
          <w:b/>
          <w:szCs w:val="24"/>
        </w:rPr>
        <w:t xml:space="preserve">определен на </w:t>
      </w:r>
      <w:r w:rsidRPr="00E40E8F">
        <w:rPr>
          <w:b/>
          <w:szCs w:val="24"/>
        </w:rPr>
        <w:t>15,00 лв./кв.м. на месец</w:t>
      </w:r>
      <w:r>
        <w:rPr>
          <w:b/>
          <w:szCs w:val="24"/>
        </w:rPr>
        <w:t xml:space="preserve"> или 225,00 лв. на месец за терен с площ от 15 кв.м</w:t>
      </w:r>
      <w:r w:rsidRPr="00E40E8F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8B29DA" w:rsidRPr="004B547E" w:rsidRDefault="008B29DA" w:rsidP="008B29D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B547E">
        <w:rPr>
          <w:szCs w:val="24"/>
        </w:rPr>
        <w:t xml:space="preserve">Достигната на търга такса – 495,00 лв. </w:t>
      </w:r>
    </w:p>
    <w:p w:rsidR="008B29DA" w:rsidRPr="004B547E" w:rsidRDefault="008B29DA" w:rsidP="008B29D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 изпълнение на </w:t>
      </w:r>
      <w:r w:rsidRPr="004B547E">
        <w:rPr>
          <w:szCs w:val="24"/>
        </w:rPr>
        <w:t xml:space="preserve">Решение № 394, взето с Протокол № 28 от 14.10.2010 г. </w:t>
      </w:r>
      <w:r>
        <w:rPr>
          <w:szCs w:val="24"/>
        </w:rPr>
        <w:t xml:space="preserve">на Общински съвет - Пловдив, в сила от </w:t>
      </w:r>
      <w:r w:rsidRPr="000C6C84">
        <w:rPr>
          <w:i/>
          <w:szCs w:val="24"/>
        </w:rPr>
        <w:t>01.11.2010 г.,</w:t>
      </w:r>
      <w:r>
        <w:rPr>
          <w:szCs w:val="24"/>
        </w:rPr>
        <w:t xml:space="preserve"> от достигнатата на търга такса се отчислява 20 </w:t>
      </w:r>
      <w:r>
        <w:rPr>
          <w:szCs w:val="24"/>
          <w:lang w:val="en-US"/>
        </w:rPr>
        <w:t>%</w:t>
      </w:r>
      <w:r>
        <w:rPr>
          <w:szCs w:val="24"/>
        </w:rPr>
        <w:t>ДДС.</w:t>
      </w:r>
    </w:p>
    <w:p w:rsidR="008B29DA" w:rsidRDefault="008B29DA" w:rsidP="008B29DA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8B29DA" w:rsidRDefault="008B29DA" w:rsidP="008B29DA">
      <w:pPr>
        <w:pStyle w:val="a3"/>
        <w:jc w:val="both"/>
      </w:pPr>
      <w:r>
        <w:t xml:space="preserve">         С оглед на горното, </w:t>
      </w:r>
      <w:r w:rsidRPr="000B1BEE">
        <w:rPr>
          <w:b/>
        </w:rPr>
        <w:t>начислените такси</w:t>
      </w:r>
      <w:r>
        <w:t xml:space="preserve"> по Разрешение № 06-0395/1/ / 10.01.2013</w:t>
      </w:r>
      <w:r w:rsidR="00CA1290">
        <w:t xml:space="preserve"> г.</w:t>
      </w:r>
      <w:r>
        <w:t xml:space="preserve"> за ползване на имот общинска собственост за търговска дейност съгласно Раздел ІІ от ЗМДТ, чрез поставяне на стационарен </w:t>
      </w:r>
      <w:proofErr w:type="spellStart"/>
      <w:r>
        <w:t>преместваем</w:t>
      </w:r>
      <w:proofErr w:type="spellEnd"/>
      <w:r>
        <w:t xml:space="preserve"> обект за търговия по чл. 56 от ЗУТ</w:t>
      </w:r>
      <w:r w:rsidR="00CA1290">
        <w:t>,</w:t>
      </w:r>
      <w:r>
        <w:t xml:space="preserve"> </w:t>
      </w:r>
      <w:r w:rsidR="00CA1290">
        <w:t>към</w:t>
      </w:r>
      <w:r>
        <w:t xml:space="preserve"> настоящия момент – 24.01.2014 г. по месеци,  са както следва: </w:t>
      </w:r>
    </w:p>
    <w:p w:rsidR="005A7E5D" w:rsidRDefault="005A7E5D" w:rsidP="008B29DA">
      <w:pPr>
        <w:pStyle w:val="a3"/>
        <w:jc w:val="both"/>
      </w:pP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>За 01.</w:t>
      </w:r>
      <w:proofErr w:type="spellStart"/>
      <w:r>
        <w:t>01</w:t>
      </w:r>
      <w:proofErr w:type="spellEnd"/>
      <w:r>
        <w:t xml:space="preserve">.2013 г. – 31.01.2013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01.02.2013 г. – 28.02.2013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01.03.2013 г. – 31.03.2013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01.04.2013 г. – 30.04.2013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01.05.2013 г. – 31.05.2013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01.06.2013 г. – 30.06.2013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01.07.2013 г. – 31.07.2013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01.08.2013 г. – 31.08.2013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01.09.2013 г. – 30.09.2013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01.10.2013 г. – 31.10.2013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01.11.2013 г. – 30.11.2013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 xml:space="preserve">За 01.12.2013 г. – 31.12.2013 г. месечната такса е в размер на    412,50 лв. </w:t>
      </w:r>
    </w:p>
    <w:p w:rsidR="00CA1290" w:rsidRDefault="00CA1290" w:rsidP="00CA1290">
      <w:pPr>
        <w:pStyle w:val="a3"/>
        <w:numPr>
          <w:ilvl w:val="0"/>
          <w:numId w:val="4"/>
        </w:numPr>
        <w:jc w:val="both"/>
      </w:pPr>
      <w:r>
        <w:t>За 01.</w:t>
      </w:r>
      <w:proofErr w:type="spellStart"/>
      <w:r>
        <w:t>01</w:t>
      </w:r>
      <w:proofErr w:type="spellEnd"/>
      <w:r>
        <w:t xml:space="preserve">.2014 г. – 31.01.2014 г. месечната такса е в размер на    412,50 лв. </w:t>
      </w:r>
    </w:p>
    <w:p w:rsidR="00E014F8" w:rsidRDefault="00E014F8" w:rsidP="00E014F8">
      <w:pPr>
        <w:pStyle w:val="a3"/>
        <w:ind w:left="360"/>
        <w:jc w:val="both"/>
        <w:rPr>
          <w:b/>
        </w:rPr>
      </w:pPr>
    </w:p>
    <w:p w:rsidR="00CA1290" w:rsidRDefault="00CA1290" w:rsidP="00CA1290">
      <w:pPr>
        <w:pStyle w:val="a3"/>
        <w:ind w:left="360"/>
        <w:jc w:val="both"/>
        <w:rPr>
          <w:b/>
        </w:rPr>
      </w:pPr>
      <w:r w:rsidRPr="00D90688">
        <w:rPr>
          <w:b/>
        </w:rPr>
        <w:t xml:space="preserve">Общ размер на начислените такси – </w:t>
      </w:r>
      <w:r>
        <w:rPr>
          <w:b/>
        </w:rPr>
        <w:t>5 362,50</w:t>
      </w:r>
      <w:r w:rsidRPr="00D90688">
        <w:rPr>
          <w:b/>
        </w:rPr>
        <w:t xml:space="preserve"> лв. </w:t>
      </w:r>
      <w:r>
        <w:rPr>
          <w:b/>
        </w:rPr>
        <w:t xml:space="preserve">(пет хиляди триста шестдесет и два лева и петдесет стотинки). Върху главницата  се начислява </w:t>
      </w:r>
      <w:r w:rsidRPr="00D90688">
        <w:rPr>
          <w:b/>
        </w:rPr>
        <w:t xml:space="preserve"> </w:t>
      </w:r>
      <w:r>
        <w:rPr>
          <w:b/>
        </w:rPr>
        <w:t xml:space="preserve">20 </w:t>
      </w:r>
      <w:r>
        <w:rPr>
          <w:b/>
          <w:lang w:val="en-US"/>
        </w:rPr>
        <w:t xml:space="preserve">% </w:t>
      </w:r>
      <w:r w:rsidRPr="00D90688">
        <w:rPr>
          <w:b/>
        </w:rPr>
        <w:t>ДДС.</w:t>
      </w:r>
      <w:r>
        <w:rPr>
          <w:b/>
        </w:rPr>
        <w:t xml:space="preserve"> </w:t>
      </w:r>
    </w:p>
    <w:p w:rsidR="00E014F8" w:rsidRDefault="00E014F8" w:rsidP="00E014F8">
      <w:pPr>
        <w:pStyle w:val="a3"/>
        <w:ind w:left="360"/>
        <w:jc w:val="both"/>
        <w:rPr>
          <w:b/>
        </w:rPr>
      </w:pPr>
    </w:p>
    <w:p w:rsidR="00D271CB" w:rsidRDefault="008A6688" w:rsidP="00D271CB">
      <w:pPr>
        <w:pStyle w:val="a3"/>
        <w:jc w:val="both"/>
      </w:pPr>
      <w:r>
        <w:t xml:space="preserve">      </w:t>
      </w:r>
      <w:r w:rsidR="00D271CB">
        <w:t xml:space="preserve">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закон. Съгласно чл.73, ал.2 от ЗМДТ зоните се определят от Общинския съвет.</w:t>
      </w:r>
    </w:p>
    <w:p w:rsidR="00D271CB" w:rsidRDefault="00D271CB" w:rsidP="00035D13">
      <w:pPr>
        <w:pStyle w:val="a3"/>
        <w:jc w:val="both"/>
      </w:pPr>
    </w:p>
    <w:p w:rsidR="00E014F8" w:rsidRDefault="00E014F8" w:rsidP="00E014F8">
      <w:pPr>
        <w:pStyle w:val="a3"/>
        <w:jc w:val="both"/>
      </w:pPr>
      <w:r>
        <w:t xml:space="preserve">       Съгласно чл. 79, ал.2 от ЗМДТ, таксите за ползване на пазари, тържища и други при ползване на мястото повече от един месец се заплащат месечно.</w:t>
      </w:r>
    </w:p>
    <w:p w:rsidR="005A7E5D" w:rsidRDefault="005A7E5D" w:rsidP="00E014F8">
      <w:pPr>
        <w:pStyle w:val="a3"/>
        <w:jc w:val="both"/>
      </w:pPr>
    </w:p>
    <w:p w:rsidR="00E014F8" w:rsidRDefault="00E014F8" w:rsidP="00E014F8">
      <w:pPr>
        <w:pStyle w:val="a3"/>
        <w:jc w:val="both"/>
      </w:pPr>
      <w:r>
        <w:t xml:space="preserve">        Съгласно чл.</w:t>
      </w:r>
      <w:r w:rsidR="00CA1290">
        <w:t xml:space="preserve"> </w:t>
      </w:r>
      <w:r>
        <w:t>20, ал. 5</w:t>
      </w:r>
      <w:r>
        <w:rPr>
          <w:lang w:val="en-US"/>
        </w:rPr>
        <w:t xml:space="preserve"> </w:t>
      </w:r>
      <w:r>
        <w:t xml:space="preserve">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между 1 и 20 число на текущия месец, в касата на съответната общинска администрация или по банковата сметка на общината.</w:t>
      </w:r>
    </w:p>
    <w:p w:rsidR="005A7E5D" w:rsidRDefault="005A7E5D" w:rsidP="00E014F8">
      <w:pPr>
        <w:pStyle w:val="a3"/>
        <w:jc w:val="both"/>
      </w:pPr>
    </w:p>
    <w:p w:rsidR="00E014F8" w:rsidRDefault="00E014F8" w:rsidP="00E014F8">
      <w:pPr>
        <w:pStyle w:val="a3"/>
        <w:tabs>
          <w:tab w:val="clear" w:pos="9072"/>
          <w:tab w:val="left" w:pos="2600"/>
          <w:tab w:val="right" w:pos="10206"/>
        </w:tabs>
        <w:jc w:val="both"/>
        <w:rPr>
          <w:b/>
        </w:rPr>
      </w:pPr>
      <w:r>
        <w:rPr>
          <w:b/>
        </w:rPr>
        <w:t xml:space="preserve">     </w:t>
      </w:r>
      <w:r w:rsidR="00E30D6A">
        <w:rPr>
          <w:b/>
        </w:rPr>
        <w:t xml:space="preserve">   </w:t>
      </w:r>
      <w:r>
        <w:rPr>
          <w:b/>
        </w:rPr>
        <w:t xml:space="preserve">  </w:t>
      </w:r>
      <w:r w:rsidR="00EB5AEA">
        <w:rPr>
          <w:b/>
        </w:rPr>
        <w:t>От изложеното до тук</w:t>
      </w:r>
      <w:r>
        <w:rPr>
          <w:b/>
        </w:rPr>
        <w:t xml:space="preserve">, </w:t>
      </w:r>
      <w:r w:rsidR="00EB5AEA">
        <w:rPr>
          <w:b/>
        </w:rPr>
        <w:t xml:space="preserve">действието на Разрешение № 06-0395/1/ / 10.01.2013 г. поражда задължения по чл. 72 от ЗМДТ към район „Тракия“, община Пловдив, които </w:t>
      </w:r>
      <w:r w:rsidR="00E10543">
        <w:rPr>
          <w:b/>
        </w:rPr>
        <w:t xml:space="preserve">дружество </w:t>
      </w:r>
      <w:r w:rsidR="00CA1290">
        <w:rPr>
          <w:b/>
        </w:rPr>
        <w:t>„СТАРИТЕ ЛЪВОВЕ“ ООД с ЕИК</w:t>
      </w:r>
      <w:r w:rsidR="00CA1290" w:rsidRPr="00F82C7D">
        <w:rPr>
          <w:b/>
        </w:rPr>
        <w:t xml:space="preserve"> </w:t>
      </w:r>
      <w:r w:rsidR="00CA1290">
        <w:rPr>
          <w:b/>
        </w:rPr>
        <w:t>202231843</w:t>
      </w:r>
      <w:r w:rsidR="00CA1290" w:rsidRPr="00F82C7D">
        <w:rPr>
          <w:b/>
        </w:rPr>
        <w:t>, със седа</w:t>
      </w:r>
      <w:r w:rsidR="00CA1290">
        <w:rPr>
          <w:b/>
        </w:rPr>
        <w:t>лище и адрес на управление: гр. Пловдив, район „Централен“,</w:t>
      </w:r>
      <w:r w:rsidR="00CA1290" w:rsidRPr="00F82C7D">
        <w:rPr>
          <w:b/>
        </w:rPr>
        <w:t xml:space="preserve"> </w:t>
      </w:r>
      <w:r w:rsidR="00CA1290">
        <w:rPr>
          <w:b/>
        </w:rPr>
        <w:t>б</w:t>
      </w:r>
      <w:r w:rsidR="00CA1290" w:rsidRPr="00F82C7D">
        <w:rPr>
          <w:b/>
        </w:rPr>
        <w:t>ул. „</w:t>
      </w:r>
      <w:r w:rsidR="00CA1290">
        <w:rPr>
          <w:b/>
        </w:rPr>
        <w:t>Марица</w:t>
      </w:r>
      <w:r w:rsidR="00CA1290" w:rsidRPr="00F82C7D">
        <w:rPr>
          <w:b/>
        </w:rPr>
        <w:t xml:space="preserve">” № </w:t>
      </w:r>
      <w:r w:rsidR="00CA1290">
        <w:rPr>
          <w:b/>
        </w:rPr>
        <w:t xml:space="preserve">136, вход Б, ет. 4, ап. 11, управлявано и представлявано от управителя Христо Иванов </w:t>
      </w:r>
      <w:proofErr w:type="spellStart"/>
      <w:r w:rsidR="00CA1290">
        <w:rPr>
          <w:b/>
        </w:rPr>
        <w:t>Вардев</w:t>
      </w:r>
      <w:proofErr w:type="spellEnd"/>
      <w:r w:rsidR="00E30D6A">
        <w:rPr>
          <w:b/>
        </w:rPr>
        <w:t xml:space="preserve">, като ползвател на общинския терен </w:t>
      </w:r>
      <w:r w:rsidR="00EB5AEA">
        <w:rPr>
          <w:b/>
        </w:rPr>
        <w:t>трябва да заплаща, а именно</w:t>
      </w:r>
      <w:r>
        <w:rPr>
          <w:b/>
        </w:rPr>
        <w:t>:</w:t>
      </w:r>
    </w:p>
    <w:p w:rsidR="00DF2CBD" w:rsidRPr="005D705A" w:rsidRDefault="00DF2CBD" w:rsidP="00DF2CBD">
      <w:pPr>
        <w:pStyle w:val="a3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03"/>
        <w:gridCol w:w="2609"/>
        <w:gridCol w:w="2436"/>
      </w:tblGrid>
      <w:tr w:rsidR="00DF2CBD" w:rsidRPr="00E32D49" w:rsidTr="00F65703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DF2CBD" w:rsidRPr="00E32D49" w:rsidRDefault="00DF2CBD" w:rsidP="00F6570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03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609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36" w:type="dxa"/>
            <w:vMerge w:val="restart"/>
            <w:vAlign w:val="center"/>
          </w:tcPr>
          <w:p w:rsidR="00DF2CBD" w:rsidRPr="007033AD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лв./</w:t>
            </w:r>
          </w:p>
        </w:tc>
      </w:tr>
      <w:tr w:rsidR="00DF2CBD" w:rsidTr="00F65703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DF2CBD" w:rsidRDefault="00DF2CBD" w:rsidP="00F65703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03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09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Януари / 2013 г.</w:t>
            </w:r>
          </w:p>
        </w:tc>
        <w:tc>
          <w:tcPr>
            <w:tcW w:w="2436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Февруари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Март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Април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Май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Юни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Юли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Август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Септември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Октомври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Ноември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3B293B">
              <w:rPr>
                <w:sz w:val="24"/>
                <w:szCs w:val="24"/>
              </w:rPr>
              <w:t>Такса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за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ползване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на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пазари</w:t>
            </w:r>
            <w:proofErr w:type="spellEnd"/>
            <w:r w:rsidRPr="003B293B">
              <w:rPr>
                <w:sz w:val="24"/>
                <w:szCs w:val="24"/>
              </w:rPr>
              <w:t xml:space="preserve">, </w:t>
            </w:r>
            <w:proofErr w:type="spellStart"/>
            <w:r w:rsidRPr="003B293B">
              <w:rPr>
                <w:sz w:val="24"/>
                <w:szCs w:val="24"/>
              </w:rPr>
              <w:t>тържища</w:t>
            </w:r>
            <w:proofErr w:type="spellEnd"/>
            <w:r w:rsidRPr="003B293B">
              <w:rPr>
                <w:sz w:val="24"/>
                <w:szCs w:val="24"/>
              </w:rPr>
              <w:t xml:space="preserve"> и </w:t>
            </w:r>
            <w:proofErr w:type="spellStart"/>
            <w:r w:rsidRPr="003B293B">
              <w:rPr>
                <w:sz w:val="24"/>
                <w:szCs w:val="24"/>
              </w:rPr>
              <w:t>други</w:t>
            </w:r>
            <w:proofErr w:type="spellEnd"/>
            <w:r w:rsidRPr="003B293B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Декември / 2013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 w:rsidRPr="00B35AE4"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3203" w:type="dxa"/>
          </w:tcPr>
          <w:p w:rsidR="00DF2CBD" w:rsidRDefault="00DF2CBD" w:rsidP="00F65703">
            <w:proofErr w:type="spellStart"/>
            <w:r w:rsidRPr="003B293B">
              <w:rPr>
                <w:sz w:val="24"/>
                <w:szCs w:val="24"/>
              </w:rPr>
              <w:t>Такса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за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ползване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на</w:t>
            </w:r>
            <w:proofErr w:type="spellEnd"/>
            <w:r w:rsidRPr="003B293B">
              <w:rPr>
                <w:sz w:val="24"/>
                <w:szCs w:val="24"/>
              </w:rPr>
              <w:t xml:space="preserve"> </w:t>
            </w:r>
            <w:proofErr w:type="spellStart"/>
            <w:r w:rsidRPr="003B293B">
              <w:rPr>
                <w:sz w:val="24"/>
                <w:szCs w:val="24"/>
              </w:rPr>
              <w:t>пазари</w:t>
            </w:r>
            <w:proofErr w:type="spellEnd"/>
            <w:r w:rsidRPr="003B293B">
              <w:rPr>
                <w:sz w:val="24"/>
                <w:szCs w:val="24"/>
              </w:rPr>
              <w:t xml:space="preserve">, </w:t>
            </w:r>
            <w:proofErr w:type="spellStart"/>
            <w:r w:rsidRPr="003B293B">
              <w:rPr>
                <w:sz w:val="24"/>
                <w:szCs w:val="24"/>
              </w:rPr>
              <w:t>тържища</w:t>
            </w:r>
            <w:proofErr w:type="spellEnd"/>
            <w:r w:rsidRPr="003B293B">
              <w:rPr>
                <w:sz w:val="24"/>
                <w:szCs w:val="24"/>
              </w:rPr>
              <w:t xml:space="preserve"> и </w:t>
            </w:r>
            <w:proofErr w:type="spellStart"/>
            <w:r w:rsidRPr="003B293B">
              <w:rPr>
                <w:sz w:val="24"/>
                <w:szCs w:val="24"/>
              </w:rPr>
              <w:t>други</w:t>
            </w:r>
            <w:proofErr w:type="spellEnd"/>
            <w:r w:rsidRPr="003B293B"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Януари / 2014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RPr="00E32D49" w:rsidTr="00F65703">
        <w:trPr>
          <w:jc w:val="center"/>
        </w:trPr>
        <w:tc>
          <w:tcPr>
            <w:tcW w:w="850" w:type="dxa"/>
            <w:vAlign w:val="center"/>
          </w:tcPr>
          <w:p w:rsidR="00DF2CBD" w:rsidRDefault="00DF2CBD" w:rsidP="00DF2CB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3203" w:type="dxa"/>
          </w:tcPr>
          <w:p w:rsidR="00DF2CBD" w:rsidRDefault="00DF2CBD" w:rsidP="00F65703">
            <w:pPr>
              <w:rPr>
                <w:sz w:val="24"/>
                <w:szCs w:val="24"/>
                <w:lang w:val="bg-BG"/>
              </w:rPr>
            </w:pPr>
          </w:p>
          <w:p w:rsidR="00DF2CBD" w:rsidRPr="00E11CA5" w:rsidRDefault="00DF2CBD" w:rsidP="00F6570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609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.2013 г. </w:t>
            </w:r>
          </w:p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23.01.2014 г.</w:t>
            </w:r>
          </w:p>
        </w:tc>
        <w:tc>
          <w:tcPr>
            <w:tcW w:w="2436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5 362,50</w:t>
            </w:r>
          </w:p>
        </w:tc>
      </w:tr>
    </w:tbl>
    <w:p w:rsidR="00DF2CBD" w:rsidRDefault="00DF2CBD" w:rsidP="00DF2CBD">
      <w:pPr>
        <w:pStyle w:val="a3"/>
        <w:jc w:val="both"/>
      </w:pPr>
      <w:r>
        <w:t>Върху главницата не се начислява ДДС.</w:t>
      </w:r>
    </w:p>
    <w:p w:rsidR="00E44612" w:rsidRDefault="00E44612" w:rsidP="00F90A62">
      <w:pPr>
        <w:pStyle w:val="a3"/>
        <w:jc w:val="both"/>
      </w:pPr>
    </w:p>
    <w:p w:rsidR="00DF2CBD" w:rsidRDefault="00DF2CBD" w:rsidP="00DF2CBD">
      <w:pPr>
        <w:pStyle w:val="a3"/>
        <w:tabs>
          <w:tab w:val="left" w:pos="284"/>
        </w:tabs>
        <w:ind w:right="43" w:firstLine="426"/>
        <w:jc w:val="both"/>
      </w:pPr>
      <w:r>
        <w:t xml:space="preserve">До датата на изготвяне на акта - 24.01.2014 г., по Разрешение № 06-0395/1/ от 10.01.2013 г., издадено от кмета на район „Тракия”, община Пловдив, 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по чл. 56 от ЗУТ – павилион, от „СТАРИТЕ ЛЪВОВЕ” ООД с ЕИК 202231843 са извършени следните плащания :</w:t>
      </w:r>
    </w:p>
    <w:p w:rsidR="00DF2CBD" w:rsidRDefault="00DF2CBD" w:rsidP="00DF2CBD">
      <w:pPr>
        <w:pStyle w:val="a3"/>
        <w:tabs>
          <w:tab w:val="left" w:pos="708"/>
        </w:tabs>
        <w:ind w:firstLine="851"/>
        <w:jc w:val="both"/>
      </w:pPr>
      <w:r>
        <w:t>- с пл. документ № 9279 / 21.02.2013 г. – 495,00 лв. - плащане на задължение за такса за м. І / 2013 г., от които – 412,50 лв. – главница и 82,50 лв. -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lastRenderedPageBreak/>
        <w:t>- с пл. документ № 29805 / 05.06.2013 г. – 495,00 лв., плащане на задължение за такса за м. ІІ / 2013 г., от които – 412,50 лв. главница и 82,50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>- с пл. документ № 42224 / 28.08.2013 г. – 495,00 лв., плащане на задължение за такса за м. ІІ</w:t>
      </w:r>
      <w:r>
        <w:rPr>
          <w:lang w:val="en-US"/>
        </w:rPr>
        <w:t>I</w:t>
      </w:r>
      <w:r>
        <w:t xml:space="preserve"> / 2013 г., от които – 412,50 лв. главница и 82,50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  <w:rPr>
          <w:lang w:val="en-US"/>
        </w:rPr>
      </w:pPr>
      <w:r>
        <w:t>- с пл. документ № 42225 / 28.08.2013 г. – 495,00 лв., плащане на задължение за такса за м. І</w:t>
      </w:r>
      <w:r>
        <w:rPr>
          <w:lang w:val="en-US"/>
        </w:rPr>
        <w:t>V</w:t>
      </w:r>
      <w:r>
        <w:t xml:space="preserve"> / 2013 г., от които – 412,50 лв. главница и 82,50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48967</w:t>
      </w:r>
      <w:r>
        <w:t xml:space="preserve"> / </w:t>
      </w:r>
      <w:r>
        <w:rPr>
          <w:lang w:val="en-US"/>
        </w:rPr>
        <w:t>01.10</w:t>
      </w:r>
      <w:r>
        <w:t xml:space="preserve">.2013 г. – 495,00 лв., плащане на задължение за такса за м. </w:t>
      </w:r>
      <w:r>
        <w:rPr>
          <w:lang w:val="en-US"/>
        </w:rPr>
        <w:t>V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412,50 лв. главница и 82,50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4896</w:t>
      </w:r>
      <w:r>
        <w:t xml:space="preserve">8 / </w:t>
      </w:r>
      <w:r>
        <w:rPr>
          <w:lang w:val="en-US"/>
        </w:rPr>
        <w:t>01.10</w:t>
      </w:r>
      <w:r>
        <w:t xml:space="preserve">.2013 г. – 495,00 лв., плащане на задължение за такса за м. </w:t>
      </w:r>
      <w:r>
        <w:rPr>
          <w:lang w:val="en-US"/>
        </w:rPr>
        <w:t>IX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412,50 лв. главница и 82,50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0031487169</w:t>
      </w:r>
      <w:r>
        <w:t xml:space="preserve"> / </w:t>
      </w:r>
      <w:r>
        <w:rPr>
          <w:lang w:val="en-US"/>
        </w:rPr>
        <w:t>31.10</w:t>
      </w:r>
      <w:r>
        <w:t xml:space="preserve">.2013 г. – </w:t>
      </w:r>
      <w:r>
        <w:rPr>
          <w:lang w:val="en-US"/>
        </w:rPr>
        <w:t>100</w:t>
      </w:r>
      <w:r>
        <w:t xml:space="preserve">,00 лв., частично 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83,33 лв. главница и 16,67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0031487</w:t>
      </w:r>
      <w:r>
        <w:t xml:space="preserve">820 / 05.11.2013 г. – </w:t>
      </w:r>
      <w:r>
        <w:rPr>
          <w:lang w:val="en-US"/>
        </w:rPr>
        <w:t>100</w:t>
      </w:r>
      <w:r>
        <w:t xml:space="preserve">,00 лв., доплащане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83,33 лв. главница и 16,67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0031487</w:t>
      </w:r>
      <w:r>
        <w:t>861 / 06.11.2013 г. – 5</w:t>
      </w:r>
      <w:r>
        <w:rPr>
          <w:lang w:val="en-US"/>
        </w:rPr>
        <w:t>0</w:t>
      </w:r>
      <w:r>
        <w:t xml:space="preserve">,00 лв., доплащане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41,67 лв. главница и 8,33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0031487</w:t>
      </w:r>
      <w:r>
        <w:t xml:space="preserve">906 / 07.11.2013 г. – 50,00 лв., доплащане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41,67 лв. главница и 8,33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</w:t>
      </w:r>
      <w:r>
        <w:t xml:space="preserve">8147 / 13.11.2013 г. – </w:t>
      </w:r>
      <w:r>
        <w:rPr>
          <w:lang w:val="en-US"/>
        </w:rPr>
        <w:t>1</w:t>
      </w:r>
      <w:r>
        <w:t>5</w:t>
      </w:r>
      <w:r>
        <w:rPr>
          <w:lang w:val="en-US"/>
        </w:rPr>
        <w:t>0</w:t>
      </w:r>
      <w:r>
        <w:t xml:space="preserve">,00 лв., доплащане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125,00 лв. главница и 25,00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003148</w:t>
      </w:r>
      <w:r>
        <w:t xml:space="preserve">8239 / 15.11.2013 г. – 45,00 лв., доплащане на задължение за такса за м. </w:t>
      </w:r>
      <w:r>
        <w:rPr>
          <w:lang w:val="en-US"/>
        </w:rPr>
        <w:t>VI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37,50 лв. главница и 7,50 лв. – ДДС;</w:t>
      </w:r>
    </w:p>
    <w:p w:rsidR="00DF2CBD" w:rsidRDefault="00DF2CBD" w:rsidP="00DF2CBD">
      <w:pPr>
        <w:pStyle w:val="a3"/>
        <w:tabs>
          <w:tab w:val="left" w:pos="708"/>
        </w:tabs>
        <w:ind w:right="43" w:firstLine="851"/>
        <w:jc w:val="both"/>
      </w:pPr>
      <w:r>
        <w:t xml:space="preserve">- с пл. документ № </w:t>
      </w:r>
      <w:r>
        <w:rPr>
          <w:lang w:val="en-US"/>
        </w:rPr>
        <w:t>00314</w:t>
      </w:r>
      <w:r>
        <w:t>91196 / 10.01.2014 г. – 2</w:t>
      </w:r>
      <w:r>
        <w:rPr>
          <w:lang w:val="en-US"/>
        </w:rPr>
        <w:t>00</w:t>
      </w:r>
      <w:r>
        <w:t xml:space="preserve">,00 лв., частично плащане на задължение за такса за м. </w:t>
      </w:r>
      <w:r>
        <w:rPr>
          <w:lang w:val="en-US"/>
        </w:rPr>
        <w:t>VII</w:t>
      </w:r>
      <w:r>
        <w:t xml:space="preserve"> / 2013 </w:t>
      </w:r>
      <w:proofErr w:type="gramStart"/>
      <w:r>
        <w:t>г.,</w:t>
      </w:r>
      <w:proofErr w:type="gramEnd"/>
      <w:r>
        <w:t xml:space="preserve"> от които – 166,67 лв. главница и 33,</w:t>
      </w:r>
      <w:proofErr w:type="spellStart"/>
      <w:r>
        <w:t>33</w:t>
      </w:r>
      <w:proofErr w:type="spellEnd"/>
      <w:r>
        <w:t xml:space="preserve"> лв. – ДДС;</w:t>
      </w:r>
    </w:p>
    <w:p w:rsidR="00DF2CBD" w:rsidRPr="00D628BD" w:rsidRDefault="00DF2CBD" w:rsidP="00DF2CBD">
      <w:pPr>
        <w:pStyle w:val="a3"/>
        <w:tabs>
          <w:tab w:val="left" w:pos="708"/>
        </w:tabs>
        <w:ind w:right="43" w:firstLine="851"/>
        <w:jc w:val="both"/>
        <w:rPr>
          <w:lang w:val="en-US"/>
        </w:rPr>
      </w:pPr>
    </w:p>
    <w:p w:rsidR="00DF2CBD" w:rsidRDefault="00DF2CBD" w:rsidP="00DF2CBD">
      <w:pPr>
        <w:pStyle w:val="a3"/>
        <w:jc w:val="both"/>
        <w:rPr>
          <w:b/>
        </w:rPr>
      </w:pPr>
      <w:r>
        <w:rPr>
          <w:b/>
        </w:rPr>
        <w:t xml:space="preserve">         Общ размер на платените такси – </w:t>
      </w:r>
      <w:r>
        <w:rPr>
          <w:b/>
          <w:lang w:val="en-US"/>
        </w:rPr>
        <w:t>3 665</w:t>
      </w:r>
      <w:r>
        <w:rPr>
          <w:b/>
        </w:rPr>
        <w:t>,</w:t>
      </w:r>
      <w:r>
        <w:rPr>
          <w:b/>
          <w:lang w:val="en-US"/>
        </w:rPr>
        <w:t>00</w:t>
      </w:r>
      <w:r>
        <w:rPr>
          <w:b/>
        </w:rPr>
        <w:t xml:space="preserve"> лв. (три хиляди шестстотин шестдесет и пет</w:t>
      </w:r>
      <w:r>
        <w:rPr>
          <w:b/>
          <w:lang w:val="en-US"/>
        </w:rPr>
        <w:t xml:space="preserve"> </w:t>
      </w:r>
      <w:r>
        <w:rPr>
          <w:b/>
        </w:rPr>
        <w:t xml:space="preserve"> лева и нула стотинки), от които: главница - 3 054,17 лв. </w:t>
      </w:r>
      <w:r>
        <w:rPr>
          <w:b/>
          <w:lang w:val="en-US"/>
        </w:rPr>
        <w:t>(</w:t>
      </w:r>
      <w:proofErr w:type="gramStart"/>
      <w:r>
        <w:rPr>
          <w:b/>
        </w:rPr>
        <w:t>три</w:t>
      </w:r>
      <w:proofErr w:type="gramEnd"/>
      <w:r>
        <w:rPr>
          <w:b/>
        </w:rPr>
        <w:t xml:space="preserve"> хиляди  петдесет и четири лева и седемнадесет стотинки</w:t>
      </w:r>
      <w:r>
        <w:rPr>
          <w:b/>
          <w:lang w:val="en-US"/>
        </w:rPr>
        <w:t>)</w:t>
      </w:r>
      <w:r>
        <w:rPr>
          <w:b/>
        </w:rPr>
        <w:t xml:space="preserve"> и ДДС - 610,83 лв. </w:t>
      </w:r>
      <w:r>
        <w:rPr>
          <w:b/>
          <w:lang w:val="en-US"/>
        </w:rPr>
        <w:t>(</w:t>
      </w:r>
      <w:proofErr w:type="gramStart"/>
      <w:r>
        <w:rPr>
          <w:b/>
        </w:rPr>
        <w:t>шестстотин</w:t>
      </w:r>
      <w:proofErr w:type="gramEnd"/>
      <w:r>
        <w:rPr>
          <w:b/>
        </w:rPr>
        <w:t xml:space="preserve"> и десет лева и осемдесет и три стотинки</w:t>
      </w:r>
      <w:r>
        <w:rPr>
          <w:b/>
          <w:lang w:val="en-US"/>
        </w:rPr>
        <w:t>)</w:t>
      </w:r>
      <w:r>
        <w:rPr>
          <w:b/>
        </w:rPr>
        <w:t xml:space="preserve"> . </w:t>
      </w:r>
    </w:p>
    <w:p w:rsidR="00D271CB" w:rsidRDefault="00D271CB" w:rsidP="00D271CB">
      <w:pPr>
        <w:pStyle w:val="a3"/>
        <w:jc w:val="both"/>
        <w:rPr>
          <w:b/>
        </w:rPr>
      </w:pPr>
    </w:p>
    <w:p w:rsidR="00E014F8" w:rsidRDefault="00E014F8" w:rsidP="00E014F8">
      <w:pPr>
        <w:pStyle w:val="a3"/>
        <w:tabs>
          <w:tab w:val="left" w:pos="708"/>
        </w:tabs>
        <w:ind w:firstLine="720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E014F8" w:rsidRDefault="00E014F8" w:rsidP="00E014F8">
      <w:pPr>
        <w:pStyle w:val="a3"/>
        <w:tabs>
          <w:tab w:val="left" w:pos="708"/>
        </w:tabs>
        <w:ind w:firstLine="720"/>
        <w:jc w:val="both"/>
      </w:pPr>
    </w:p>
    <w:p w:rsidR="00DF2CBD" w:rsidRDefault="00DF2CBD" w:rsidP="00DF2CBD">
      <w:pPr>
        <w:pStyle w:val="a3"/>
        <w:jc w:val="both"/>
      </w:pPr>
      <w:r>
        <w:t xml:space="preserve">          Съгласно чл. 20, ал. 11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DF2CBD" w:rsidRDefault="00DF2CBD" w:rsidP="00DF2CBD">
      <w:pPr>
        <w:pStyle w:val="a3"/>
        <w:tabs>
          <w:tab w:val="left" w:pos="708"/>
        </w:tabs>
        <w:ind w:firstLine="720"/>
        <w:jc w:val="both"/>
      </w:pPr>
    </w:p>
    <w:p w:rsidR="00DF2CBD" w:rsidRDefault="00DF2CBD" w:rsidP="00DF2CBD">
      <w:pPr>
        <w:pStyle w:val="a3"/>
        <w:tabs>
          <w:tab w:val="left" w:pos="708"/>
        </w:tabs>
        <w:ind w:right="43" w:firstLine="567"/>
        <w:jc w:val="both"/>
      </w:pPr>
      <w:r>
        <w:t xml:space="preserve">Начислените лихви за неплатените суми по Разрешение № 06-0395/1/ / 10.01.2013 г., издадено от кмета на район „Тракия”, община Пловдив, 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по чл. 56 от ЗУТ - павилион, са както следва:</w:t>
      </w:r>
    </w:p>
    <w:p w:rsidR="00DF2CBD" w:rsidRDefault="00DF2CBD" w:rsidP="00DF2CBD">
      <w:pPr>
        <w:pStyle w:val="a3"/>
        <w:tabs>
          <w:tab w:val="left" w:pos="708"/>
        </w:tabs>
        <w:ind w:right="43" w:firstLine="567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3260"/>
        <w:gridCol w:w="3686"/>
        <w:gridCol w:w="1701"/>
      </w:tblGrid>
      <w:tr w:rsidR="00DF2CBD" w:rsidRPr="005D6773" w:rsidTr="00F65703">
        <w:trPr>
          <w:cantSplit/>
          <w:trHeight w:val="991"/>
          <w:jc w:val="center"/>
        </w:trPr>
        <w:tc>
          <w:tcPr>
            <w:tcW w:w="570" w:type="dxa"/>
            <w:vAlign w:val="center"/>
          </w:tcPr>
          <w:p w:rsidR="00DF2CBD" w:rsidRPr="005D6773" w:rsidRDefault="00DF2CBD" w:rsidP="00F6570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DF2CBD" w:rsidRPr="005D6773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DF2CBD" w:rsidRPr="005D6773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DF2CBD" w:rsidRPr="005D6773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DF2CBD" w:rsidRPr="005D6773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>
              <w:rPr>
                <w:sz w:val="24"/>
                <w:szCs w:val="24"/>
                <w:lang w:val="bg-BG"/>
              </w:rPr>
              <w:t xml:space="preserve">Осчетоводяване на лихви </w:t>
            </w:r>
            <w:r w:rsidRPr="004734F6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31.01.2013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1,07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ind w:left="-68" w:firstLine="68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11.02.2013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20.02.2013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28.02.2013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0,82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11.03.2013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20.03.2013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20.03.2013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0,12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29.03.2013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2,08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03.04.2013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04.</w:t>
            </w:r>
            <w:proofErr w:type="spellStart"/>
            <w:r>
              <w:rPr>
                <w:sz w:val="24"/>
                <w:szCs w:val="24"/>
                <w:lang w:val="bg-BG"/>
              </w:rPr>
              <w:t>04</w:t>
            </w:r>
            <w:proofErr w:type="spellEnd"/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17.04.2013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3,01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30.04.2013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4,19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09.05.2013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31.05.2013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9,36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07.06.2013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2,57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12.06.2013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1,75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28.06.2013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6,90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31.07.2013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16,83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30.08.2013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17,94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18.09.2013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8,43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30.09.2013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7,23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03.10.2013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11.10.2013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2,80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31.10.2013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8,51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29.11.2013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12,03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27.12.2013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13,94</w:t>
            </w:r>
          </w:p>
        </w:tc>
      </w:tr>
      <w:tr w:rsidR="00DF2CBD" w:rsidRPr="005D6773" w:rsidTr="00F65703">
        <w:trPr>
          <w:jc w:val="center"/>
        </w:trPr>
        <w:tc>
          <w:tcPr>
            <w:tcW w:w="570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DF2CBD" w:rsidRDefault="00DF2CBD" w:rsidP="00F65703">
            <w:r w:rsidRPr="005C7149">
              <w:rPr>
                <w:sz w:val="24"/>
                <w:szCs w:val="24"/>
                <w:lang w:val="bg-BG"/>
              </w:rPr>
              <w:t>Осчетоводяване на лихви  към</w:t>
            </w:r>
            <w:r>
              <w:rPr>
                <w:sz w:val="24"/>
                <w:szCs w:val="24"/>
                <w:lang w:val="bg-BG"/>
              </w:rPr>
              <w:t xml:space="preserve"> 06.01.2014 г.</w:t>
            </w:r>
          </w:p>
        </w:tc>
        <w:tc>
          <w:tcPr>
            <w:tcW w:w="1701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4,09</w:t>
            </w:r>
          </w:p>
        </w:tc>
      </w:tr>
      <w:tr w:rsidR="00DF2CBD" w:rsidRPr="005D6773" w:rsidTr="00F65703">
        <w:trPr>
          <w:trHeight w:val="329"/>
          <w:jc w:val="center"/>
        </w:trPr>
        <w:tc>
          <w:tcPr>
            <w:tcW w:w="570" w:type="dxa"/>
            <w:vAlign w:val="center"/>
          </w:tcPr>
          <w:p w:rsidR="00DF2CBD" w:rsidRPr="00B75383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3260" w:type="dxa"/>
            <w:vAlign w:val="center"/>
          </w:tcPr>
          <w:p w:rsidR="00DF2CBD" w:rsidRPr="00854F1E" w:rsidRDefault="00DF2CBD" w:rsidP="00F65703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DF2CBD" w:rsidRPr="00854F1E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31.01.2013 г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. – </w:t>
            </w:r>
            <w:r>
              <w:rPr>
                <w:b/>
                <w:sz w:val="24"/>
                <w:szCs w:val="24"/>
                <w:lang w:val="bg-BG"/>
              </w:rPr>
              <w:t>06.01.2014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F2CBD" w:rsidRPr="00854F1E" w:rsidRDefault="00DF2CBD" w:rsidP="00F65703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132,83</w:t>
            </w:r>
          </w:p>
        </w:tc>
      </w:tr>
    </w:tbl>
    <w:p w:rsidR="00DF2CBD" w:rsidRDefault="00DF2CBD" w:rsidP="00DF2CBD">
      <w:pPr>
        <w:pStyle w:val="a3"/>
        <w:tabs>
          <w:tab w:val="left" w:pos="708"/>
        </w:tabs>
        <w:ind w:right="43" w:firstLine="567"/>
        <w:jc w:val="both"/>
      </w:pPr>
      <w:r>
        <w:t xml:space="preserve"> </w:t>
      </w:r>
    </w:p>
    <w:p w:rsidR="00DF2CBD" w:rsidRPr="000E1A59" w:rsidRDefault="00DF2CBD" w:rsidP="00DF2CBD">
      <w:pPr>
        <w:pStyle w:val="a3"/>
        <w:jc w:val="both"/>
      </w:pPr>
      <w:r>
        <w:t xml:space="preserve">         До датата на изготвяне на акта - 24</w:t>
      </w:r>
      <w:r w:rsidRPr="000E1A59">
        <w:t>.01.2014 г.</w:t>
      </w:r>
      <w:r>
        <w:t>,</w:t>
      </w:r>
      <w:r w:rsidRPr="000E1A59">
        <w:t xml:space="preserve"> в касата на район „Тракия”, община Пловдив е извършено плащане на лихва за </w:t>
      </w:r>
      <w:proofErr w:type="spellStart"/>
      <w:r w:rsidRPr="000E1A59">
        <w:t>просрочие</w:t>
      </w:r>
      <w:proofErr w:type="spellEnd"/>
      <w:r w:rsidRPr="000E1A59">
        <w:t xml:space="preserve"> от „</w:t>
      </w:r>
      <w:r>
        <w:t>СТАРИТЕ ЛЪВОВЕ</w:t>
      </w:r>
      <w:r w:rsidRPr="000E1A59">
        <w:t xml:space="preserve">” ООД, ЕИК </w:t>
      </w:r>
      <w:r>
        <w:t>202321843</w:t>
      </w:r>
      <w:r w:rsidRPr="000E1A59">
        <w:t>, както следва:</w:t>
      </w:r>
    </w:p>
    <w:p w:rsidR="00DF2CBD" w:rsidRPr="006B01FA" w:rsidRDefault="00DF2CBD" w:rsidP="00DF2CBD">
      <w:pPr>
        <w:pStyle w:val="a3"/>
        <w:numPr>
          <w:ilvl w:val="0"/>
          <w:numId w:val="18"/>
        </w:numPr>
        <w:tabs>
          <w:tab w:val="clear" w:pos="4536"/>
          <w:tab w:val="clear" w:pos="9072"/>
          <w:tab w:val="right" w:pos="-4962"/>
        </w:tabs>
        <w:rPr>
          <w:b/>
        </w:rPr>
      </w:pPr>
      <w:r w:rsidRPr="000E1A59">
        <w:t xml:space="preserve">с платежен документ № </w:t>
      </w:r>
      <w:r>
        <w:t>0031275728</w:t>
      </w:r>
      <w:r w:rsidRPr="000E1A59">
        <w:t xml:space="preserve"> / </w:t>
      </w:r>
      <w:r>
        <w:t>21.02.2013</w:t>
      </w:r>
      <w:r w:rsidRPr="000E1A59">
        <w:t xml:space="preserve"> г. – </w:t>
      </w:r>
      <w:r>
        <w:t xml:space="preserve">  3,32</w:t>
      </w:r>
      <w:r w:rsidRPr="000E1A59">
        <w:t xml:space="preserve"> лв. лихви</w:t>
      </w:r>
    </w:p>
    <w:p w:rsidR="00DF2CBD" w:rsidRPr="006B01FA" w:rsidRDefault="00DF2CBD" w:rsidP="00DF2CBD">
      <w:pPr>
        <w:pStyle w:val="a3"/>
        <w:numPr>
          <w:ilvl w:val="0"/>
          <w:numId w:val="18"/>
        </w:numPr>
        <w:tabs>
          <w:tab w:val="clear" w:pos="4536"/>
          <w:tab w:val="clear" w:pos="9072"/>
          <w:tab w:val="right" w:pos="-4962"/>
        </w:tabs>
        <w:rPr>
          <w:b/>
        </w:rPr>
      </w:pPr>
      <w:r w:rsidRPr="000E1A59">
        <w:t xml:space="preserve">с платежен документ № </w:t>
      </w:r>
      <w:r>
        <w:t>0031454694</w:t>
      </w:r>
      <w:r w:rsidRPr="000E1A59">
        <w:t xml:space="preserve"> / </w:t>
      </w:r>
      <w:r>
        <w:t>01.10.2013</w:t>
      </w:r>
      <w:r w:rsidRPr="000E1A59">
        <w:t xml:space="preserve"> г. – </w:t>
      </w:r>
      <w:r>
        <w:t>10,00</w:t>
      </w:r>
      <w:r w:rsidRPr="000E1A59">
        <w:t xml:space="preserve"> лв. лихви</w:t>
      </w:r>
    </w:p>
    <w:p w:rsidR="00DF2CBD" w:rsidRPr="006B01FA" w:rsidRDefault="00DF2CBD" w:rsidP="00DF2CBD">
      <w:pPr>
        <w:pStyle w:val="a3"/>
        <w:tabs>
          <w:tab w:val="clear" w:pos="4536"/>
          <w:tab w:val="clear" w:pos="9072"/>
          <w:tab w:val="right" w:pos="-4962"/>
        </w:tabs>
        <w:ind w:left="720"/>
        <w:rPr>
          <w:b/>
        </w:rPr>
      </w:pPr>
    </w:p>
    <w:p w:rsidR="00DF2CBD" w:rsidRDefault="00DF2CBD" w:rsidP="00DF2CBD">
      <w:pPr>
        <w:pStyle w:val="a3"/>
        <w:tabs>
          <w:tab w:val="clear" w:pos="4536"/>
          <w:tab w:val="clear" w:pos="9072"/>
          <w:tab w:val="right" w:pos="-4962"/>
        </w:tabs>
        <w:rPr>
          <w:b/>
        </w:rPr>
      </w:pPr>
      <w:r>
        <w:rPr>
          <w:b/>
        </w:rPr>
        <w:t xml:space="preserve">      </w:t>
      </w:r>
      <w:r w:rsidRPr="00952EA4">
        <w:rPr>
          <w:b/>
        </w:rPr>
        <w:t>Общо платени лихви</w:t>
      </w:r>
      <w:r>
        <w:rPr>
          <w:b/>
        </w:rPr>
        <w:t xml:space="preserve">  -</w:t>
      </w:r>
      <w:r w:rsidRPr="00952EA4">
        <w:rPr>
          <w:b/>
        </w:rPr>
        <w:t xml:space="preserve"> </w:t>
      </w:r>
      <w:r>
        <w:rPr>
          <w:b/>
        </w:rPr>
        <w:t xml:space="preserve"> 13,32</w:t>
      </w:r>
      <w:r w:rsidRPr="00952EA4">
        <w:rPr>
          <w:b/>
        </w:rPr>
        <w:t xml:space="preserve"> лв. </w:t>
      </w:r>
      <w:r>
        <w:rPr>
          <w:b/>
        </w:rPr>
        <w:t>(тринадесет лева и тридесет и две стотинки).</w:t>
      </w:r>
    </w:p>
    <w:p w:rsidR="00DF2CBD" w:rsidRDefault="00DF2CBD" w:rsidP="00DF2CBD">
      <w:pPr>
        <w:pStyle w:val="a3"/>
        <w:tabs>
          <w:tab w:val="left" w:pos="708"/>
        </w:tabs>
        <w:ind w:right="43" w:firstLine="567"/>
        <w:jc w:val="both"/>
      </w:pPr>
    </w:p>
    <w:p w:rsidR="00DF2CBD" w:rsidRPr="00DC4DCB" w:rsidRDefault="00DF2CBD" w:rsidP="00DF2CBD">
      <w:pPr>
        <w:pStyle w:val="a3"/>
        <w:jc w:val="both"/>
      </w:pPr>
      <w:r>
        <w:rPr>
          <w:b/>
        </w:rPr>
        <w:t xml:space="preserve">           </w:t>
      </w:r>
      <w:r w:rsidRPr="00DC4DCB">
        <w:t>След приспадане на внесените суми</w:t>
      </w:r>
      <w:r>
        <w:t xml:space="preserve"> /главница, ДДС и лихви/</w:t>
      </w:r>
      <w:r w:rsidRPr="00DC4DCB">
        <w:t xml:space="preserve">, задълженията на </w:t>
      </w:r>
      <w:r>
        <w:rPr>
          <w:b/>
        </w:rPr>
        <w:t>„СТАРИТЕ ЛЪВОВЕ</w:t>
      </w:r>
      <w:r w:rsidRPr="00756A79">
        <w:rPr>
          <w:b/>
        </w:rPr>
        <w:t>”</w:t>
      </w:r>
      <w:r>
        <w:rPr>
          <w:b/>
        </w:rPr>
        <w:t xml:space="preserve"> ООД</w:t>
      </w:r>
      <w:r w:rsidRPr="00756A79">
        <w:rPr>
          <w:b/>
        </w:rPr>
        <w:t xml:space="preserve">, ЕИК </w:t>
      </w:r>
      <w:r>
        <w:rPr>
          <w:b/>
        </w:rPr>
        <w:t>202321843</w:t>
      </w:r>
      <w:r w:rsidRPr="00756A79">
        <w:rPr>
          <w:b/>
        </w:rPr>
        <w:t xml:space="preserve">, </w:t>
      </w:r>
      <w:r>
        <w:t xml:space="preserve">със седалище и адрес на управление: гр. Пловдив, район „Централен“, бул. „Марица“ № 136, вход Б, ет. 4, ап. 11, управлявано и представлявано от </w:t>
      </w:r>
      <w:r w:rsidRPr="00121226">
        <w:rPr>
          <w:b/>
        </w:rPr>
        <w:t xml:space="preserve">управителя </w:t>
      </w:r>
      <w:r>
        <w:rPr>
          <w:b/>
        </w:rPr>
        <w:t xml:space="preserve">Христо Иванов </w:t>
      </w:r>
      <w:proofErr w:type="spellStart"/>
      <w:r>
        <w:rPr>
          <w:b/>
        </w:rPr>
        <w:t>Вардев</w:t>
      </w:r>
      <w:proofErr w:type="spellEnd"/>
      <w:r w:rsidRPr="00DC4DCB">
        <w:t xml:space="preserve">, </w:t>
      </w:r>
      <w:r>
        <w:t xml:space="preserve">по чл. 72 от ЗМДТ  - такса </w:t>
      </w:r>
      <w:r w:rsidRPr="00DC4DCB">
        <w:t>за ползване на пазари, тържища, тротоари, площади, улични платна, панаири и терени с друго предназначение</w:t>
      </w:r>
      <w:r>
        <w:t>, които са общинска собственост</w:t>
      </w:r>
      <w:r w:rsidRPr="00DC4DCB">
        <w:t xml:space="preserve"> и лихви за </w:t>
      </w:r>
      <w:proofErr w:type="spellStart"/>
      <w:r w:rsidRPr="00DC4DCB">
        <w:t>просрочие</w:t>
      </w:r>
      <w:proofErr w:type="spellEnd"/>
      <w:r w:rsidRPr="00DC4DCB">
        <w:t xml:space="preserve"> за ползван имот с площ </w:t>
      </w:r>
      <w:r>
        <w:t>от 15</w:t>
      </w:r>
      <w:r w:rsidRPr="00DC4DCB">
        <w:t>,00 кв. м.</w:t>
      </w:r>
      <w:r>
        <w:t>,</w:t>
      </w:r>
      <w:r w:rsidRPr="00DC4DCB">
        <w:t xml:space="preserve"> </w:t>
      </w:r>
      <w:proofErr w:type="spellStart"/>
      <w:r w:rsidRPr="00DC4DCB">
        <w:t>находящ</w:t>
      </w:r>
      <w:proofErr w:type="spellEnd"/>
      <w:r w:rsidRPr="00DC4DCB">
        <w:t xml:space="preserve"> се в </w:t>
      </w:r>
      <w:r>
        <w:t>гр. Пловдив, район „Тракия”,</w:t>
      </w:r>
      <w:r w:rsidRPr="00121226">
        <w:t xml:space="preserve"> </w:t>
      </w:r>
      <w:r>
        <w:t xml:space="preserve">УПИ </w:t>
      </w:r>
      <w:r>
        <w:rPr>
          <w:lang w:val="en-US"/>
        </w:rPr>
        <w:t>I</w:t>
      </w:r>
      <w:r>
        <w:t xml:space="preserve">-комплексно застрояване, квартал 5,  А-1,2,3, терен № 3 по одобрена схема от Главния архитект </w:t>
      </w:r>
      <w:r w:rsidRPr="00DC4DCB">
        <w:t xml:space="preserve">за </w:t>
      </w:r>
      <w:r>
        <w:t>поставяне на стационарно съоръжение за търговия - павилион</w:t>
      </w:r>
      <w:r w:rsidRPr="00DC4DCB">
        <w:t xml:space="preserve">, </w:t>
      </w:r>
      <w:r>
        <w:t xml:space="preserve">за </w:t>
      </w:r>
      <w:r w:rsidRPr="00DC4DCB">
        <w:t xml:space="preserve">периода: </w:t>
      </w:r>
      <w:r>
        <w:rPr>
          <w:b/>
          <w:i/>
        </w:rPr>
        <w:t>частично</w:t>
      </w:r>
      <w:r w:rsidRPr="005E0C14">
        <w:rPr>
          <w:b/>
          <w:i/>
        </w:rPr>
        <w:t xml:space="preserve"> </w:t>
      </w:r>
      <w:r>
        <w:rPr>
          <w:b/>
          <w:i/>
        </w:rPr>
        <w:t>м. Юли , м. Август, м. Октомври, м. Ноември, м. Декември 2013</w:t>
      </w:r>
      <w:r w:rsidRPr="005E0C14">
        <w:rPr>
          <w:b/>
          <w:i/>
        </w:rPr>
        <w:t xml:space="preserve"> г. </w:t>
      </w:r>
      <w:r>
        <w:rPr>
          <w:b/>
          <w:i/>
        </w:rPr>
        <w:t>и</w:t>
      </w:r>
      <w:r w:rsidRPr="005E0C14">
        <w:rPr>
          <w:b/>
          <w:i/>
        </w:rPr>
        <w:t xml:space="preserve"> </w:t>
      </w:r>
      <w:r>
        <w:rPr>
          <w:b/>
          <w:i/>
        </w:rPr>
        <w:t>м. Януари 2014</w:t>
      </w:r>
      <w:r w:rsidRPr="005E0C14">
        <w:rPr>
          <w:b/>
          <w:i/>
        </w:rPr>
        <w:t xml:space="preserve"> г. вкл.,</w:t>
      </w:r>
      <w:r w:rsidRPr="00DC4DCB">
        <w:rPr>
          <w:i/>
        </w:rPr>
        <w:t xml:space="preserve"> </w:t>
      </w:r>
      <w:r w:rsidRPr="00DC4DCB">
        <w:t xml:space="preserve"> са </w:t>
      </w:r>
      <w:r>
        <w:t>к</w:t>
      </w:r>
      <w:r w:rsidRPr="00DC4DCB">
        <w:t>акто следва:</w:t>
      </w:r>
    </w:p>
    <w:p w:rsidR="00171246" w:rsidRDefault="00171246" w:rsidP="00171246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353"/>
        <w:gridCol w:w="2580"/>
      </w:tblGrid>
      <w:tr w:rsidR="00DF2CBD" w:rsidRPr="00E32D49" w:rsidTr="00F65703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DF2CBD" w:rsidRPr="00E32D49" w:rsidRDefault="00DF2CBD" w:rsidP="00F6570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353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80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</w:p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лв./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DF2CBD" w:rsidTr="00F65703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DF2CBD" w:rsidRDefault="00DF2CBD" w:rsidP="00F65703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53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580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8A2713">
              <w:rPr>
                <w:sz w:val="24"/>
                <w:szCs w:val="24"/>
              </w:rPr>
              <w:t>Такса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за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ползване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на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пазари</w:t>
            </w:r>
            <w:proofErr w:type="spellEnd"/>
            <w:r w:rsidRPr="008A2713">
              <w:rPr>
                <w:sz w:val="24"/>
                <w:szCs w:val="24"/>
              </w:rPr>
              <w:t xml:space="preserve">, </w:t>
            </w:r>
            <w:proofErr w:type="spellStart"/>
            <w:r w:rsidRPr="008A2713">
              <w:rPr>
                <w:sz w:val="24"/>
                <w:szCs w:val="24"/>
              </w:rPr>
              <w:t>тържища</w:t>
            </w:r>
            <w:proofErr w:type="spellEnd"/>
            <w:r w:rsidRPr="008A2713">
              <w:rPr>
                <w:sz w:val="24"/>
                <w:szCs w:val="24"/>
              </w:rPr>
              <w:t xml:space="preserve"> и </w:t>
            </w:r>
            <w:proofErr w:type="spellStart"/>
            <w:r w:rsidRPr="008A2713">
              <w:rPr>
                <w:sz w:val="24"/>
                <w:szCs w:val="24"/>
              </w:rPr>
              <w:t>други</w:t>
            </w:r>
            <w:proofErr w:type="spellEnd"/>
            <w:r w:rsidRPr="008A2713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Частично за </w:t>
            </w:r>
          </w:p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Юли 2013 г.</w:t>
            </w:r>
          </w:p>
        </w:tc>
        <w:tc>
          <w:tcPr>
            <w:tcW w:w="2580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>
              <w:rPr>
                <w:sz w:val="24"/>
                <w:szCs w:val="24"/>
                <w:lang w:val="bg-BG"/>
              </w:rPr>
              <w:t>245,83</w:t>
            </w:r>
          </w:p>
        </w:tc>
      </w:tr>
      <w:tr w:rsidR="00DF2CBD" w:rsidRPr="00C35DC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39298E">
              <w:rPr>
                <w:sz w:val="24"/>
                <w:szCs w:val="24"/>
              </w:rPr>
              <w:t>Такса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за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ползване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на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пазари</w:t>
            </w:r>
            <w:proofErr w:type="spellEnd"/>
            <w:r w:rsidRPr="0039298E">
              <w:rPr>
                <w:sz w:val="24"/>
                <w:szCs w:val="24"/>
              </w:rPr>
              <w:t xml:space="preserve">, </w:t>
            </w:r>
            <w:proofErr w:type="spellStart"/>
            <w:r w:rsidRPr="0039298E">
              <w:rPr>
                <w:sz w:val="24"/>
                <w:szCs w:val="24"/>
              </w:rPr>
              <w:t>тържища</w:t>
            </w:r>
            <w:proofErr w:type="spellEnd"/>
            <w:r w:rsidRPr="0039298E">
              <w:rPr>
                <w:sz w:val="24"/>
                <w:szCs w:val="24"/>
              </w:rPr>
              <w:t xml:space="preserve"> и </w:t>
            </w:r>
            <w:proofErr w:type="spellStart"/>
            <w:r w:rsidRPr="0039298E">
              <w:rPr>
                <w:sz w:val="24"/>
                <w:szCs w:val="24"/>
              </w:rPr>
              <w:t>други</w:t>
            </w:r>
            <w:proofErr w:type="spellEnd"/>
            <w:r w:rsidRPr="0039298E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Август 2013 г.</w:t>
            </w:r>
          </w:p>
        </w:tc>
        <w:tc>
          <w:tcPr>
            <w:tcW w:w="2580" w:type="dxa"/>
          </w:tcPr>
          <w:p w:rsidR="00DF2CBD" w:rsidRDefault="00DF2CBD" w:rsidP="00F65703">
            <w:pPr>
              <w:jc w:val="right"/>
              <w:rPr>
                <w:lang w:val="bg-BG"/>
              </w:rPr>
            </w:pPr>
          </w:p>
          <w:p w:rsidR="00DF2CBD" w:rsidRPr="00C35DC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39298E">
              <w:rPr>
                <w:sz w:val="24"/>
                <w:szCs w:val="24"/>
              </w:rPr>
              <w:t>Такса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за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ползване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на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пазари</w:t>
            </w:r>
            <w:proofErr w:type="spellEnd"/>
            <w:r w:rsidRPr="0039298E">
              <w:rPr>
                <w:sz w:val="24"/>
                <w:szCs w:val="24"/>
              </w:rPr>
              <w:t xml:space="preserve">, </w:t>
            </w:r>
            <w:proofErr w:type="spellStart"/>
            <w:r w:rsidRPr="0039298E">
              <w:rPr>
                <w:sz w:val="24"/>
                <w:szCs w:val="24"/>
              </w:rPr>
              <w:t>тържища</w:t>
            </w:r>
            <w:proofErr w:type="spellEnd"/>
            <w:r w:rsidRPr="0039298E">
              <w:rPr>
                <w:sz w:val="24"/>
                <w:szCs w:val="24"/>
              </w:rPr>
              <w:t xml:space="preserve"> и </w:t>
            </w:r>
            <w:proofErr w:type="spellStart"/>
            <w:r w:rsidRPr="0039298E">
              <w:rPr>
                <w:sz w:val="24"/>
                <w:szCs w:val="24"/>
              </w:rPr>
              <w:t>други</w:t>
            </w:r>
            <w:proofErr w:type="spellEnd"/>
            <w:r w:rsidRPr="0039298E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Октомври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Ноември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Декември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DF2CBD" w:rsidRPr="00CA6AE6" w:rsidRDefault="00DF2CBD" w:rsidP="00F65703">
            <w:pPr>
              <w:rPr>
                <w:sz w:val="24"/>
                <w:szCs w:val="24"/>
              </w:rPr>
            </w:pPr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Януари  2014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DF2CBD" w:rsidRDefault="00DF2CBD" w:rsidP="00F65703">
            <w:pPr>
              <w:rPr>
                <w:sz w:val="24"/>
                <w:szCs w:val="24"/>
                <w:lang w:val="bg-BG"/>
              </w:rPr>
            </w:pPr>
          </w:p>
          <w:p w:rsidR="00DF2CBD" w:rsidRPr="005E0C14" w:rsidRDefault="00DF2CBD" w:rsidP="00F6570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30.04.2013 г.</w:t>
            </w:r>
          </w:p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06.01.2014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119,51</w:t>
            </w:r>
          </w:p>
        </w:tc>
      </w:tr>
      <w:tr w:rsidR="00DF2CBD" w:rsidRPr="00E32D49" w:rsidTr="00F65703">
        <w:trPr>
          <w:jc w:val="center"/>
        </w:trPr>
        <w:tc>
          <w:tcPr>
            <w:tcW w:w="723" w:type="dxa"/>
            <w:vAlign w:val="center"/>
          </w:tcPr>
          <w:p w:rsidR="00DF2CBD" w:rsidRPr="004E3A75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  <w:vAlign w:val="center"/>
          </w:tcPr>
          <w:p w:rsidR="00DF2CBD" w:rsidRPr="00E32D49" w:rsidRDefault="00DF2CBD" w:rsidP="00F6570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353" w:type="dxa"/>
            <w:vAlign w:val="center"/>
          </w:tcPr>
          <w:p w:rsidR="00DF2CBD" w:rsidRPr="00E32D49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80" w:type="dxa"/>
            <w:vAlign w:val="center"/>
          </w:tcPr>
          <w:p w:rsidR="00DF2CBD" w:rsidRPr="00E32D49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 xml:space="preserve">2 308,33 </w:t>
            </w:r>
            <w:r w:rsidRPr="003A7B73">
              <w:rPr>
                <w:b/>
                <w:sz w:val="24"/>
                <w:szCs w:val="24"/>
                <w:lang w:val="bg-BG"/>
              </w:rPr>
              <w:t>лв. +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лихва: </w:t>
            </w:r>
            <w:r>
              <w:rPr>
                <w:b/>
                <w:sz w:val="24"/>
                <w:szCs w:val="24"/>
                <w:lang w:val="bg-BG"/>
              </w:rPr>
              <w:t>119,51 лв.</w:t>
            </w:r>
          </w:p>
        </w:tc>
      </w:tr>
    </w:tbl>
    <w:p w:rsidR="00B041B3" w:rsidRDefault="00B041B3" w:rsidP="00A82A7D">
      <w:pPr>
        <w:pStyle w:val="a3"/>
        <w:jc w:val="both"/>
      </w:pPr>
    </w:p>
    <w:p w:rsidR="00EF6B12" w:rsidRDefault="002662EE" w:rsidP="007227FC">
      <w:pPr>
        <w:pStyle w:val="a3"/>
        <w:jc w:val="both"/>
        <w:rPr>
          <w:b/>
        </w:rPr>
      </w:pPr>
      <w:r>
        <w:t xml:space="preserve">     </w:t>
      </w:r>
      <w:r w:rsidR="00436AA9">
        <w:t xml:space="preserve">    С оглед установяване на горното е извършена проверка в </w:t>
      </w:r>
      <w:r w:rsidR="004E63CF">
        <w:t xml:space="preserve">регистър – Разрешение за </w:t>
      </w:r>
      <w:r w:rsidR="00D0106A">
        <w:t>терен за търговия</w:t>
      </w:r>
      <w:r w:rsidR="004E63CF">
        <w:t xml:space="preserve"> на финансово-счетоводната програма „</w:t>
      </w:r>
      <w:r w:rsidR="004E63CF">
        <w:rPr>
          <w:szCs w:val="24"/>
        </w:rPr>
        <w:t xml:space="preserve">Отчитане на приходите от стопанска дейност на </w:t>
      </w:r>
      <w:r w:rsidR="007227FC">
        <w:rPr>
          <w:szCs w:val="24"/>
        </w:rPr>
        <w:t xml:space="preserve">район „Тракия“, </w:t>
      </w:r>
      <w:r w:rsidR="004E63CF">
        <w:rPr>
          <w:szCs w:val="24"/>
        </w:rPr>
        <w:t>община Пловдив”</w:t>
      </w:r>
      <w:r w:rsidR="004E63CF">
        <w:t xml:space="preserve">, </w:t>
      </w:r>
      <w:r w:rsidR="00436AA9">
        <w:t xml:space="preserve">за периода от </w:t>
      </w:r>
      <w:r w:rsidR="00DF2CBD">
        <w:t>10</w:t>
      </w:r>
      <w:r w:rsidR="007374E5">
        <w:t>.</w:t>
      </w:r>
      <w:r w:rsidR="007227FC">
        <w:t>01</w:t>
      </w:r>
      <w:r w:rsidR="007374E5">
        <w:t>.20</w:t>
      </w:r>
      <w:r w:rsidR="00DF2CBD">
        <w:t>13</w:t>
      </w:r>
      <w:r w:rsidR="007F32F2">
        <w:t xml:space="preserve"> г. до </w:t>
      </w:r>
      <w:r w:rsidR="00DF2CBD">
        <w:t>23</w:t>
      </w:r>
      <w:r w:rsidR="007227FC">
        <w:t>.01.2014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>Z1</w:t>
      </w:r>
      <w:r w:rsidR="0081744B">
        <w:t xml:space="preserve"> </w:t>
      </w:r>
      <w:r w:rsidR="00A90C5C">
        <w:rPr>
          <w:lang w:val="en-US"/>
        </w:rPr>
        <w:t>-</w:t>
      </w:r>
      <w:r w:rsidR="0081744B">
        <w:t xml:space="preserve"> </w:t>
      </w:r>
      <w:r w:rsidR="00DF2CBD">
        <w:t>5821</w:t>
      </w:r>
      <w:r w:rsidR="007F32F2" w:rsidRPr="009640A0">
        <w:t xml:space="preserve"> / </w:t>
      </w:r>
      <w:r w:rsidR="00DF2CBD">
        <w:t>23</w:t>
      </w:r>
      <w:r w:rsidR="007227FC">
        <w:t>.01.2014</w:t>
      </w:r>
      <w:r w:rsidR="00436AA9" w:rsidRPr="009640A0">
        <w:t xml:space="preserve"> г.</w:t>
      </w:r>
      <w:r w:rsidR="00C2408A">
        <w:t xml:space="preserve">          </w:t>
      </w:r>
      <w:r w:rsidR="00436AA9">
        <w:t xml:space="preserve">           </w:t>
      </w:r>
      <w:r w:rsidR="00561AA8">
        <w:t xml:space="preserve">       </w:t>
      </w:r>
      <w:r w:rsidR="00B041B3" w:rsidRPr="00EF6B12">
        <w:rPr>
          <w:b/>
        </w:rPr>
        <w:t xml:space="preserve">      </w:t>
      </w:r>
    </w:p>
    <w:p w:rsidR="00EF6B12" w:rsidRDefault="00EF6B12" w:rsidP="00A82A7D">
      <w:pPr>
        <w:pStyle w:val="a3"/>
        <w:jc w:val="both"/>
        <w:rPr>
          <w:b/>
        </w:rPr>
      </w:pPr>
    </w:p>
    <w:p w:rsidR="00436AA9" w:rsidRDefault="00EF6B12" w:rsidP="00A82A7D">
      <w:pPr>
        <w:pStyle w:val="a3"/>
        <w:jc w:val="both"/>
        <w:rPr>
          <w:b/>
        </w:rPr>
      </w:pPr>
      <w:r>
        <w:rPr>
          <w:b/>
        </w:rPr>
        <w:t xml:space="preserve">    </w:t>
      </w:r>
      <w:r w:rsidR="00B041B3" w:rsidRPr="00EF6B12">
        <w:rPr>
          <w:b/>
        </w:rPr>
        <w:t xml:space="preserve">   </w:t>
      </w:r>
      <w:r w:rsidR="00436AA9" w:rsidRPr="00EF6B12">
        <w:rPr>
          <w:b/>
        </w:rPr>
        <w:t xml:space="preserve"> </w:t>
      </w:r>
      <w:r w:rsidR="00171246" w:rsidRPr="00EF6B12">
        <w:rPr>
          <w:b/>
        </w:rPr>
        <w:t xml:space="preserve"> </w:t>
      </w:r>
      <w:r w:rsidR="00436AA9" w:rsidRPr="00EF6B12">
        <w:rPr>
          <w:b/>
        </w:rPr>
        <w:t>Предвид изложеното</w:t>
      </w:r>
      <w:r w:rsidR="008A5DEE" w:rsidRPr="00EF6B12">
        <w:rPr>
          <w:b/>
        </w:rPr>
        <w:t>,</w:t>
      </w:r>
      <w:r w:rsidR="00436AA9" w:rsidRPr="00EF6B12">
        <w:rPr>
          <w:b/>
        </w:rPr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Default="0045200B" w:rsidP="00A82A7D">
      <w:pPr>
        <w:pStyle w:val="a3"/>
        <w:jc w:val="both"/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Default="00F93E43" w:rsidP="0045200B">
      <w:pPr>
        <w:pStyle w:val="a3"/>
        <w:jc w:val="center"/>
        <w:rPr>
          <w:b/>
        </w:rPr>
      </w:pPr>
    </w:p>
    <w:p w:rsidR="007374E5" w:rsidRDefault="00BC76D1" w:rsidP="004E2FCC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 w:rsidR="004E2FCC" w:rsidRPr="004E2FCC">
        <w:rPr>
          <w:b/>
        </w:rPr>
        <w:t>по чл. 72 от ЗМДТ</w:t>
      </w:r>
      <w:r w:rsidR="004E2FCC">
        <w:t xml:space="preserve"> </w:t>
      </w:r>
      <w:r w:rsidRPr="005E5875">
        <w:t xml:space="preserve">за </w:t>
      </w:r>
      <w:r w:rsidR="00B151B3">
        <w:t>до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 w:rsidR="004E2FCC">
        <w:t xml:space="preserve">, които са общинска собственост </w:t>
      </w:r>
      <w:r>
        <w:t xml:space="preserve"> и лихвите за просрочие към тях, изчислени към </w:t>
      </w:r>
      <w:r w:rsidR="00DF2CBD">
        <w:t>06</w:t>
      </w:r>
      <w:r w:rsidR="007227FC">
        <w:t>.</w:t>
      </w:r>
      <w:r w:rsidR="00DF2CBD">
        <w:t>01</w:t>
      </w:r>
      <w:r w:rsidR="007227FC">
        <w:t>.201</w:t>
      </w:r>
      <w:r w:rsidR="00DF2CBD">
        <w:t>4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DF2CBD" w:rsidRPr="00151821">
        <w:rPr>
          <w:b/>
        </w:rPr>
        <w:t>„</w:t>
      </w:r>
      <w:r w:rsidR="00DF2CBD">
        <w:rPr>
          <w:b/>
        </w:rPr>
        <w:t>СТАРИТЕ ЛЪВОВЕ</w:t>
      </w:r>
      <w:r w:rsidR="00DF2CBD" w:rsidRPr="00151821">
        <w:rPr>
          <w:b/>
        </w:rPr>
        <w:t xml:space="preserve">” ООД, ЕИК </w:t>
      </w:r>
      <w:r w:rsidR="00DF2CBD">
        <w:rPr>
          <w:b/>
        </w:rPr>
        <w:t>202321843</w:t>
      </w:r>
      <w:r w:rsidR="00DF2CBD" w:rsidRPr="00DC4DCB">
        <w:t xml:space="preserve">, </w:t>
      </w:r>
      <w:r w:rsidR="00DF2CBD">
        <w:t xml:space="preserve">със седалище и адрес на управление: гр. Пловдив, район „Централен“, бул. „Марица“ № 136, вход Б, ет. 4, ап. 11, управлявано и представлявано от </w:t>
      </w:r>
      <w:r w:rsidR="00DF2CBD" w:rsidRPr="00121226">
        <w:rPr>
          <w:b/>
        </w:rPr>
        <w:t xml:space="preserve">управителя </w:t>
      </w:r>
      <w:r w:rsidR="00DF2CBD">
        <w:rPr>
          <w:b/>
        </w:rPr>
        <w:t xml:space="preserve">Христо Иванов </w:t>
      </w:r>
      <w:proofErr w:type="spellStart"/>
      <w:r w:rsidR="00DF2CBD">
        <w:rPr>
          <w:b/>
        </w:rPr>
        <w:t>Вардев</w:t>
      </w:r>
      <w:proofErr w:type="spellEnd"/>
      <w:r w:rsidR="007227FC">
        <w:rPr>
          <w:b/>
        </w:rPr>
        <w:t>,</w:t>
      </w:r>
      <w:r w:rsidR="004E2FCC">
        <w:rPr>
          <w:b/>
        </w:rPr>
        <w:t xml:space="preserve"> са</w:t>
      </w:r>
      <w:r w:rsidR="007227FC">
        <w:rPr>
          <w:b/>
        </w:rPr>
        <w:t xml:space="preserve"> както следва</w:t>
      </w:r>
      <w:r w:rsidR="004E2FCC">
        <w:rPr>
          <w:b/>
        </w:rPr>
        <w:t>:</w:t>
      </w:r>
      <w:r w:rsidR="003F1390">
        <w:t xml:space="preserve">      </w:t>
      </w:r>
    </w:p>
    <w:p w:rsidR="00A93E44" w:rsidRDefault="003F1390" w:rsidP="003F1390">
      <w:pPr>
        <w:pStyle w:val="a3"/>
        <w:jc w:val="both"/>
      </w:pPr>
      <w:r>
        <w:t xml:space="preserve">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353"/>
        <w:gridCol w:w="2580"/>
      </w:tblGrid>
      <w:tr w:rsidR="00DF2CBD" w:rsidRPr="00E32D49" w:rsidTr="00F65703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DF2CBD" w:rsidRPr="00E32D49" w:rsidRDefault="00D6138D" w:rsidP="00F65703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</w:t>
            </w:r>
            <w:r w:rsidR="00DF2CBD"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353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80" w:type="dxa"/>
            <w:vMerge w:val="restart"/>
            <w:vAlign w:val="center"/>
          </w:tcPr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</w:p>
          <w:p w:rsidR="00DF2CBD" w:rsidRPr="00E32D49" w:rsidRDefault="00DF2CBD" w:rsidP="00F6570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лв./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</w:p>
        </w:tc>
      </w:tr>
      <w:tr w:rsidR="00DF2CBD" w:rsidTr="00F65703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DF2CBD" w:rsidRDefault="00DF2CBD" w:rsidP="00F65703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53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580" w:type="dxa"/>
            <w:vMerge/>
            <w:vAlign w:val="center"/>
          </w:tcPr>
          <w:p w:rsidR="00DF2CBD" w:rsidRDefault="00DF2CBD" w:rsidP="00F65703">
            <w:pPr>
              <w:jc w:val="center"/>
              <w:rPr>
                <w:b/>
                <w:lang w:val="bg-BG"/>
              </w:rPr>
            </w:pP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8A2713">
              <w:rPr>
                <w:sz w:val="24"/>
                <w:szCs w:val="24"/>
              </w:rPr>
              <w:t>Такса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за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ползване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на</w:t>
            </w:r>
            <w:proofErr w:type="spellEnd"/>
            <w:r w:rsidRPr="008A2713">
              <w:rPr>
                <w:sz w:val="24"/>
                <w:szCs w:val="24"/>
              </w:rPr>
              <w:t xml:space="preserve"> </w:t>
            </w:r>
            <w:proofErr w:type="spellStart"/>
            <w:r w:rsidRPr="008A2713">
              <w:rPr>
                <w:sz w:val="24"/>
                <w:szCs w:val="24"/>
              </w:rPr>
              <w:t>пазари</w:t>
            </w:r>
            <w:proofErr w:type="spellEnd"/>
            <w:r w:rsidRPr="008A2713">
              <w:rPr>
                <w:sz w:val="24"/>
                <w:szCs w:val="24"/>
              </w:rPr>
              <w:t xml:space="preserve">, </w:t>
            </w:r>
            <w:proofErr w:type="spellStart"/>
            <w:r w:rsidRPr="008A2713">
              <w:rPr>
                <w:sz w:val="24"/>
                <w:szCs w:val="24"/>
              </w:rPr>
              <w:t>тържища</w:t>
            </w:r>
            <w:proofErr w:type="spellEnd"/>
            <w:r w:rsidRPr="008A2713">
              <w:rPr>
                <w:sz w:val="24"/>
                <w:szCs w:val="24"/>
              </w:rPr>
              <w:t xml:space="preserve"> и </w:t>
            </w:r>
            <w:proofErr w:type="spellStart"/>
            <w:r w:rsidRPr="008A2713">
              <w:rPr>
                <w:sz w:val="24"/>
                <w:szCs w:val="24"/>
              </w:rPr>
              <w:t>други</w:t>
            </w:r>
            <w:proofErr w:type="spellEnd"/>
            <w:r w:rsidRPr="008A2713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Частично за </w:t>
            </w:r>
          </w:p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Юли 2013 г.</w:t>
            </w:r>
          </w:p>
        </w:tc>
        <w:tc>
          <w:tcPr>
            <w:tcW w:w="2580" w:type="dxa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F2CBD" w:rsidRDefault="00DF2CBD" w:rsidP="00F65703">
            <w:pPr>
              <w:jc w:val="right"/>
            </w:pPr>
            <w:r>
              <w:rPr>
                <w:sz w:val="24"/>
                <w:szCs w:val="24"/>
                <w:lang w:val="bg-BG"/>
              </w:rPr>
              <w:t>245,83</w:t>
            </w:r>
          </w:p>
        </w:tc>
      </w:tr>
      <w:tr w:rsidR="00DF2CBD" w:rsidRPr="00C35DC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39298E">
              <w:rPr>
                <w:sz w:val="24"/>
                <w:szCs w:val="24"/>
              </w:rPr>
              <w:t>Такса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за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ползване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на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пазари</w:t>
            </w:r>
            <w:proofErr w:type="spellEnd"/>
            <w:r w:rsidRPr="0039298E">
              <w:rPr>
                <w:sz w:val="24"/>
                <w:szCs w:val="24"/>
              </w:rPr>
              <w:t xml:space="preserve">, </w:t>
            </w:r>
            <w:proofErr w:type="spellStart"/>
            <w:r w:rsidRPr="0039298E">
              <w:rPr>
                <w:sz w:val="24"/>
                <w:szCs w:val="24"/>
              </w:rPr>
              <w:t>тържища</w:t>
            </w:r>
            <w:proofErr w:type="spellEnd"/>
            <w:r w:rsidRPr="0039298E">
              <w:rPr>
                <w:sz w:val="24"/>
                <w:szCs w:val="24"/>
              </w:rPr>
              <w:t xml:space="preserve"> и </w:t>
            </w:r>
            <w:proofErr w:type="spellStart"/>
            <w:r w:rsidRPr="0039298E">
              <w:rPr>
                <w:sz w:val="24"/>
                <w:szCs w:val="24"/>
              </w:rPr>
              <w:t>други</w:t>
            </w:r>
            <w:proofErr w:type="spellEnd"/>
            <w:r w:rsidRPr="0039298E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Август 2013 г.</w:t>
            </w:r>
          </w:p>
        </w:tc>
        <w:tc>
          <w:tcPr>
            <w:tcW w:w="2580" w:type="dxa"/>
          </w:tcPr>
          <w:p w:rsidR="00DF2CBD" w:rsidRDefault="00DF2CBD" w:rsidP="00F65703">
            <w:pPr>
              <w:jc w:val="right"/>
              <w:rPr>
                <w:lang w:val="bg-BG"/>
              </w:rPr>
            </w:pPr>
          </w:p>
          <w:p w:rsidR="00DF2CBD" w:rsidRPr="00C35DC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Pr="002547E7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39298E">
              <w:rPr>
                <w:sz w:val="24"/>
                <w:szCs w:val="24"/>
              </w:rPr>
              <w:t>Такса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за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ползване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на</w:t>
            </w:r>
            <w:proofErr w:type="spellEnd"/>
            <w:r w:rsidRPr="0039298E">
              <w:rPr>
                <w:sz w:val="24"/>
                <w:szCs w:val="24"/>
              </w:rPr>
              <w:t xml:space="preserve"> </w:t>
            </w:r>
            <w:proofErr w:type="spellStart"/>
            <w:r w:rsidRPr="0039298E">
              <w:rPr>
                <w:sz w:val="24"/>
                <w:szCs w:val="24"/>
              </w:rPr>
              <w:t>пазари</w:t>
            </w:r>
            <w:proofErr w:type="spellEnd"/>
            <w:r w:rsidRPr="0039298E">
              <w:rPr>
                <w:sz w:val="24"/>
                <w:szCs w:val="24"/>
              </w:rPr>
              <w:t xml:space="preserve">, </w:t>
            </w:r>
            <w:proofErr w:type="spellStart"/>
            <w:r w:rsidRPr="0039298E">
              <w:rPr>
                <w:sz w:val="24"/>
                <w:szCs w:val="24"/>
              </w:rPr>
              <w:t>тържища</w:t>
            </w:r>
            <w:proofErr w:type="spellEnd"/>
            <w:r w:rsidRPr="0039298E">
              <w:rPr>
                <w:sz w:val="24"/>
                <w:szCs w:val="24"/>
              </w:rPr>
              <w:t xml:space="preserve"> и </w:t>
            </w:r>
            <w:proofErr w:type="spellStart"/>
            <w:r w:rsidRPr="0039298E">
              <w:rPr>
                <w:sz w:val="24"/>
                <w:szCs w:val="24"/>
              </w:rPr>
              <w:t>други</w:t>
            </w:r>
            <w:proofErr w:type="spellEnd"/>
            <w:r w:rsidRPr="0039298E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Октомври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Ноември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DF2CBD" w:rsidRDefault="00DF2CBD" w:rsidP="00F65703"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Декември 2013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DF2CBD" w:rsidRPr="00CA6AE6" w:rsidRDefault="00DF2CBD" w:rsidP="00F65703">
            <w:pPr>
              <w:rPr>
                <w:sz w:val="24"/>
                <w:szCs w:val="24"/>
              </w:rPr>
            </w:pPr>
            <w:proofErr w:type="spellStart"/>
            <w:r w:rsidRPr="00CA6AE6">
              <w:rPr>
                <w:sz w:val="24"/>
                <w:szCs w:val="24"/>
              </w:rPr>
              <w:t>Такса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за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ползване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на</w:t>
            </w:r>
            <w:proofErr w:type="spellEnd"/>
            <w:r w:rsidRPr="00CA6AE6">
              <w:rPr>
                <w:sz w:val="24"/>
                <w:szCs w:val="24"/>
              </w:rPr>
              <w:t xml:space="preserve"> </w:t>
            </w:r>
            <w:proofErr w:type="spellStart"/>
            <w:r w:rsidRPr="00CA6AE6">
              <w:rPr>
                <w:sz w:val="24"/>
                <w:szCs w:val="24"/>
              </w:rPr>
              <w:t>пазари</w:t>
            </w:r>
            <w:proofErr w:type="spellEnd"/>
            <w:r w:rsidRPr="00CA6AE6">
              <w:rPr>
                <w:sz w:val="24"/>
                <w:szCs w:val="24"/>
              </w:rPr>
              <w:t xml:space="preserve">, </w:t>
            </w:r>
            <w:proofErr w:type="spellStart"/>
            <w:r w:rsidRPr="00CA6AE6">
              <w:rPr>
                <w:sz w:val="24"/>
                <w:szCs w:val="24"/>
              </w:rPr>
              <w:t>тържища</w:t>
            </w:r>
            <w:proofErr w:type="spellEnd"/>
            <w:r w:rsidRPr="00CA6AE6">
              <w:rPr>
                <w:sz w:val="24"/>
                <w:szCs w:val="24"/>
              </w:rPr>
              <w:t xml:space="preserve"> и </w:t>
            </w:r>
            <w:proofErr w:type="spellStart"/>
            <w:r w:rsidRPr="00CA6AE6">
              <w:rPr>
                <w:sz w:val="24"/>
                <w:szCs w:val="24"/>
              </w:rPr>
              <w:t>други</w:t>
            </w:r>
            <w:proofErr w:type="spellEnd"/>
            <w:r w:rsidRPr="00CA6AE6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 Януари  2014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412,50</w:t>
            </w:r>
          </w:p>
        </w:tc>
      </w:tr>
      <w:tr w:rsidR="00DF2CBD" w:rsidTr="00F65703">
        <w:trPr>
          <w:jc w:val="center"/>
        </w:trPr>
        <w:tc>
          <w:tcPr>
            <w:tcW w:w="723" w:type="dxa"/>
            <w:vAlign w:val="center"/>
          </w:tcPr>
          <w:p w:rsidR="00DF2CBD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DF2CBD" w:rsidRDefault="00DF2CBD" w:rsidP="00F65703">
            <w:pPr>
              <w:rPr>
                <w:sz w:val="24"/>
                <w:szCs w:val="24"/>
                <w:lang w:val="bg-BG"/>
              </w:rPr>
            </w:pPr>
          </w:p>
          <w:p w:rsidR="00DF2CBD" w:rsidRPr="005E0C14" w:rsidRDefault="00DF2CBD" w:rsidP="00F6570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353" w:type="dxa"/>
            <w:vAlign w:val="center"/>
          </w:tcPr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30.04.2013 г.</w:t>
            </w:r>
          </w:p>
          <w:p w:rsidR="00DF2CBD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06.01.2014 г.</w:t>
            </w:r>
          </w:p>
        </w:tc>
        <w:tc>
          <w:tcPr>
            <w:tcW w:w="2580" w:type="dxa"/>
            <w:vAlign w:val="center"/>
          </w:tcPr>
          <w:p w:rsidR="00DF2CBD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119,51</w:t>
            </w:r>
          </w:p>
        </w:tc>
      </w:tr>
      <w:tr w:rsidR="00DF2CBD" w:rsidRPr="00E32D49" w:rsidTr="00F65703">
        <w:trPr>
          <w:jc w:val="center"/>
        </w:trPr>
        <w:tc>
          <w:tcPr>
            <w:tcW w:w="723" w:type="dxa"/>
            <w:vAlign w:val="center"/>
          </w:tcPr>
          <w:p w:rsidR="00DF2CBD" w:rsidRPr="004E3A75" w:rsidRDefault="00DF2CBD" w:rsidP="00F6570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  <w:vAlign w:val="center"/>
          </w:tcPr>
          <w:p w:rsidR="00DF2CBD" w:rsidRPr="00E32D49" w:rsidRDefault="00DF2CBD" w:rsidP="00F6570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353" w:type="dxa"/>
            <w:vAlign w:val="center"/>
          </w:tcPr>
          <w:p w:rsidR="00DF2CBD" w:rsidRPr="00E32D49" w:rsidRDefault="00DF2CBD" w:rsidP="00F6570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80" w:type="dxa"/>
            <w:vAlign w:val="center"/>
          </w:tcPr>
          <w:p w:rsidR="00DF2CBD" w:rsidRPr="00E32D49" w:rsidRDefault="00DF2CBD" w:rsidP="00F65703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 xml:space="preserve">2 308,33 </w:t>
            </w:r>
            <w:r w:rsidRPr="003A7B73">
              <w:rPr>
                <w:b/>
                <w:sz w:val="24"/>
                <w:szCs w:val="24"/>
                <w:lang w:val="bg-BG"/>
              </w:rPr>
              <w:t>лв. +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лихва: </w:t>
            </w:r>
            <w:r>
              <w:rPr>
                <w:b/>
                <w:sz w:val="24"/>
                <w:szCs w:val="24"/>
                <w:lang w:val="bg-BG"/>
              </w:rPr>
              <w:t>119,51 лв.</w:t>
            </w:r>
          </w:p>
        </w:tc>
      </w:tr>
    </w:tbl>
    <w:p w:rsidR="00EF6B12" w:rsidRDefault="00EF6B12" w:rsidP="00A82A7D">
      <w:pPr>
        <w:pStyle w:val="a3"/>
        <w:ind w:left="-283"/>
        <w:jc w:val="both"/>
      </w:pPr>
    </w:p>
    <w:p w:rsidR="00230456" w:rsidRDefault="00EF6B12" w:rsidP="00230456">
      <w:pPr>
        <w:pStyle w:val="a3"/>
        <w:ind w:left="-283"/>
        <w:jc w:val="both"/>
      </w:pPr>
      <w:r>
        <w:t xml:space="preserve">     </w:t>
      </w:r>
      <w:r w:rsidR="00D6138D">
        <w:t xml:space="preserve"> </w:t>
      </w:r>
      <w:r w:rsidR="00F93E43" w:rsidRPr="005E5875">
        <w:t xml:space="preserve">Установените с настоящия акт задължения </w:t>
      </w:r>
      <w:r w:rsidR="004E2FCC">
        <w:t xml:space="preserve">по чл. 72 от ЗМДТ </w:t>
      </w:r>
      <w:r w:rsidR="00F93E43" w:rsidRPr="005E5875">
        <w:t xml:space="preserve">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</w:t>
      </w:r>
      <w:r w:rsidR="00DF2CBD" w:rsidRPr="00DF2CBD">
        <w:rPr>
          <w:b/>
          <w:i/>
        </w:rPr>
        <w:t xml:space="preserve">2 889,51 лв. (две хиляди осемстотин осемдесет и девет лева и петдесет и една стотинки), в т.ч. главница –  2 308,33 лв. (две хиляди триста и осем лева и тридесет и три стотинки), ДДС – 461,67 </w:t>
      </w:r>
      <w:r w:rsidR="00DF2CBD" w:rsidRPr="00DF2CBD">
        <w:rPr>
          <w:b/>
          <w:i/>
          <w:lang w:val="en-US"/>
        </w:rPr>
        <w:t>(</w:t>
      </w:r>
      <w:r w:rsidR="00DF2CBD" w:rsidRPr="00DF2CBD">
        <w:rPr>
          <w:b/>
          <w:i/>
        </w:rPr>
        <w:t>четиристотин шестдесет и един лева и</w:t>
      </w:r>
      <w:r w:rsidR="00DF2CBD">
        <w:rPr>
          <w:i/>
        </w:rPr>
        <w:t xml:space="preserve"> </w:t>
      </w:r>
      <w:r w:rsidR="00DF2CBD" w:rsidRPr="00DF2CBD">
        <w:rPr>
          <w:b/>
          <w:i/>
        </w:rPr>
        <w:lastRenderedPageBreak/>
        <w:t>шестдесет и седем стотинки</w:t>
      </w:r>
      <w:r w:rsidR="00DF2CBD" w:rsidRPr="00DF2CBD">
        <w:rPr>
          <w:b/>
          <w:i/>
          <w:lang w:val="en-US"/>
        </w:rPr>
        <w:t>)</w:t>
      </w:r>
      <w:r w:rsidR="00DF2CBD" w:rsidRPr="00DF2CBD">
        <w:rPr>
          <w:b/>
          <w:i/>
        </w:rPr>
        <w:t xml:space="preserve"> и лихви, съгласно чл. 4, ал.2 във връзка с чл. 9б от ЗМДТ към 27.12.2013 г. в  размер на  – 119,51 лв. (сто и единадесет  лева и петдесет и една стотинки),</w:t>
      </w:r>
      <w:r w:rsidR="00DF2CBD">
        <w:rPr>
          <w:i/>
        </w:rPr>
        <w:t xml:space="preserve"> </w:t>
      </w:r>
      <w:r w:rsidR="00F93E43" w:rsidRPr="005E5875">
        <w:t>следва да бъдат внесени</w:t>
      </w:r>
      <w:r w:rsidR="00230456">
        <w:t xml:space="preserve"> в</w:t>
      </w:r>
      <w:r w:rsidR="00A93E44">
        <w:t xml:space="preserve"> </w:t>
      </w:r>
      <w:r w:rsidR="00230456" w:rsidRPr="00EB1145">
        <w:rPr>
          <w:b/>
        </w:rPr>
        <w:t>брой</w:t>
      </w:r>
      <w:r w:rsidR="00230456">
        <w:t xml:space="preserve"> в </w:t>
      </w:r>
      <w:r w:rsidR="00230456" w:rsidRPr="00A14EA1">
        <w:rPr>
          <w:b/>
        </w:rPr>
        <w:t>касата на район „Тракия”</w:t>
      </w:r>
      <w:r w:rsidR="00230456">
        <w:rPr>
          <w:b/>
        </w:rPr>
        <w:t xml:space="preserve">, община Пловдив </w:t>
      </w:r>
      <w:r w:rsidR="00230456">
        <w:t xml:space="preserve">или по </w:t>
      </w:r>
      <w:r w:rsidR="00230456" w:rsidRPr="00EB1145">
        <w:rPr>
          <w:b/>
        </w:rPr>
        <w:t>банкова</w:t>
      </w:r>
      <w:r w:rsidR="00230456">
        <w:rPr>
          <w:b/>
        </w:rPr>
        <w:t>та</w:t>
      </w:r>
      <w:r w:rsidR="00230456" w:rsidRPr="00EB1145">
        <w:rPr>
          <w:b/>
        </w:rPr>
        <w:t xml:space="preserve"> сметка</w:t>
      </w:r>
      <w:r w:rsidR="00230456">
        <w:rPr>
          <w:b/>
        </w:rPr>
        <w:t xml:space="preserve"> на района</w:t>
      </w:r>
      <w:r w:rsidR="00230456">
        <w:t xml:space="preserve">, </w:t>
      </w:r>
      <w:r w:rsidR="00230456" w:rsidRPr="005E5875">
        <w:t>както следва:</w:t>
      </w:r>
    </w:p>
    <w:p w:rsidR="00230456" w:rsidRDefault="00230456" w:rsidP="00230456">
      <w:pPr>
        <w:pStyle w:val="a3"/>
        <w:ind w:firstLine="709"/>
        <w:jc w:val="both"/>
      </w:pPr>
    </w:p>
    <w:p w:rsidR="00230456" w:rsidRPr="00A14EA1" w:rsidRDefault="00230456" w:rsidP="00230456">
      <w:pPr>
        <w:jc w:val="both"/>
        <w:rPr>
          <w:b/>
          <w:sz w:val="24"/>
          <w:szCs w:val="24"/>
        </w:rPr>
      </w:pPr>
      <w:r w:rsidRPr="00A14EA1">
        <w:rPr>
          <w:b/>
          <w:sz w:val="24"/>
          <w:szCs w:val="24"/>
        </w:rPr>
        <w:t>IBAN:   BG17 IORT 73753102000400,</w:t>
      </w:r>
    </w:p>
    <w:p w:rsidR="00230456" w:rsidRPr="00A14EA1" w:rsidRDefault="00230456" w:rsidP="00230456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proofErr w:type="gramStart"/>
      <w:r w:rsidRPr="00A14EA1">
        <w:rPr>
          <w:b/>
          <w:szCs w:val="24"/>
          <w:lang w:val="en-US"/>
        </w:rPr>
        <w:t>BIC :</w:t>
      </w:r>
      <w:proofErr w:type="gramEnd"/>
      <w:r w:rsidRPr="00A14EA1">
        <w:rPr>
          <w:b/>
          <w:szCs w:val="24"/>
          <w:lang w:val="en-US"/>
        </w:rPr>
        <w:t xml:space="preserve">  IORTBGSF </w:t>
      </w:r>
      <w:r w:rsidRPr="00A14EA1">
        <w:rPr>
          <w:b/>
          <w:szCs w:val="24"/>
        </w:rPr>
        <w:t xml:space="preserve"> </w:t>
      </w:r>
      <w:proofErr w:type="spellStart"/>
      <w:r w:rsidRPr="00A14EA1">
        <w:rPr>
          <w:b/>
          <w:szCs w:val="24"/>
          <w:lang w:val="en-US"/>
        </w:rPr>
        <w:t>при</w:t>
      </w:r>
      <w:proofErr w:type="spellEnd"/>
      <w:r w:rsidRPr="00A14EA1">
        <w:rPr>
          <w:b/>
          <w:szCs w:val="24"/>
          <w:lang w:val="en-US"/>
        </w:rPr>
        <w:t xml:space="preserve">  </w:t>
      </w:r>
      <w:r w:rsidRPr="00A14EA1">
        <w:rPr>
          <w:b/>
          <w:szCs w:val="24"/>
        </w:rPr>
        <w:t>БАНКА: ТБ ИНВЕСТБАНК АД - КЛОН ПЛОВДИВ</w:t>
      </w:r>
      <w:r w:rsidRPr="00A14EA1">
        <w:rPr>
          <w:szCs w:val="24"/>
          <w:lang w:val="en-US"/>
        </w:rPr>
        <w:t xml:space="preserve"> </w:t>
      </w:r>
    </w:p>
    <w:p w:rsidR="00EF6B12" w:rsidRDefault="00230456" w:rsidP="00230456">
      <w:pPr>
        <w:pStyle w:val="a3"/>
        <w:tabs>
          <w:tab w:val="clear" w:pos="4536"/>
          <w:tab w:val="clear" w:pos="9072"/>
        </w:tabs>
        <w:jc w:val="both"/>
      </w:pPr>
      <w:r w:rsidRPr="00A14EA1">
        <w:rPr>
          <w:b/>
          <w:szCs w:val="24"/>
        </w:rPr>
        <w:t>Получател РАЙОН „ТРАКИЯ” - ОБЩИНА ПЛОВДИВ</w:t>
      </w:r>
      <w:r w:rsidR="003A1AF5">
        <w:t xml:space="preserve">        </w:t>
      </w:r>
      <w:r w:rsidR="00154534">
        <w:t xml:space="preserve">  </w:t>
      </w:r>
    </w:p>
    <w:p w:rsidR="00EF6B12" w:rsidRDefault="00EF6B12" w:rsidP="00A82A7D">
      <w:pPr>
        <w:pStyle w:val="a3"/>
        <w:jc w:val="both"/>
      </w:pPr>
    </w:p>
    <w:p w:rsidR="00230456" w:rsidRDefault="00230456" w:rsidP="00230456">
      <w:pPr>
        <w:pStyle w:val="a3"/>
        <w:jc w:val="both"/>
        <w:rPr>
          <w:b/>
        </w:rPr>
      </w:pPr>
      <w:r>
        <w:t xml:space="preserve">           По посочената банкова сметка следва да бъдат внесени  и съответните лихви за </w:t>
      </w:r>
      <w:proofErr w:type="spellStart"/>
      <w:r>
        <w:t>просрочие</w:t>
      </w:r>
      <w:proofErr w:type="spellEnd"/>
      <w:r>
        <w:t>,  изчислени до деня на  плащането на цялото задължение.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 w:rsidR="008A47C8">
        <w:t>К</w:t>
      </w:r>
      <w:r>
        <w:t xml:space="preserve">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 xml:space="preserve">Настоящият акт се състави в </w:t>
      </w:r>
      <w:r w:rsidR="006307A4">
        <w:t>четири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</w:t>
      </w:r>
      <w:r w:rsidR="006307A4">
        <w:t>, един – за район „Тракия“, община Пловдив</w:t>
      </w:r>
      <w:r w:rsidRPr="005E5875">
        <w:t xml:space="preserve"> и един за задълженото лице</w:t>
      </w:r>
      <w:r w:rsidR="00436AA9">
        <w:t xml:space="preserve"> – </w:t>
      </w:r>
      <w:r w:rsidR="00230456">
        <w:t>„</w:t>
      </w:r>
      <w:r w:rsidR="00DF2CBD">
        <w:t>СТАРИТЕ ЛЪВОВЕ</w:t>
      </w:r>
      <w:r w:rsidR="00230456">
        <w:t xml:space="preserve">“ ООД с ЕИК </w:t>
      </w:r>
      <w:r w:rsidR="00DF2CBD">
        <w:t>202321843</w:t>
      </w:r>
      <w:r w:rsidR="00B151B3">
        <w:t xml:space="preserve">, представлявано от </w:t>
      </w:r>
      <w:r w:rsidR="00230456">
        <w:t xml:space="preserve">управителя </w:t>
      </w:r>
      <w:r w:rsidR="003C4F7A">
        <w:t xml:space="preserve"> </w:t>
      </w:r>
      <w:r w:rsidR="00DF2CBD">
        <w:t>Христо</w:t>
      </w:r>
      <w:r w:rsidR="00230456">
        <w:t xml:space="preserve"> </w:t>
      </w:r>
      <w:r w:rsidR="00DF2CBD">
        <w:t>Иванов</w:t>
      </w:r>
      <w:r w:rsidR="00230456">
        <w:t xml:space="preserve"> </w:t>
      </w:r>
      <w:proofErr w:type="spellStart"/>
      <w:r w:rsidR="00DF2CBD">
        <w:t>Вардев</w:t>
      </w:r>
      <w:proofErr w:type="spellEnd"/>
      <w:r w:rsidR="003C4F7A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EF6B12" w:rsidRDefault="00EF6B12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DF2CBD">
        <w:t>24</w:t>
      </w:r>
      <w:r w:rsidR="00230456">
        <w:t>.01.2014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275787">
      <w:footerReference w:type="even" r:id="rId12"/>
      <w:footerReference w:type="default" r:id="rId13"/>
      <w:headerReference w:type="first" r:id="rId14"/>
      <w:pgSz w:w="11906" w:h="16838" w:code="9"/>
      <w:pgMar w:top="709" w:right="849" w:bottom="567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B5" w:rsidRDefault="00E961B5">
      <w:r>
        <w:separator/>
      </w:r>
    </w:p>
  </w:endnote>
  <w:endnote w:type="continuationSeparator" w:id="0">
    <w:p w:rsidR="00E961B5" w:rsidRDefault="00E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830" w:rsidRDefault="00B81830">
    <w:pPr>
      <w:pStyle w:val="a5"/>
      <w:ind w:right="360"/>
    </w:pPr>
  </w:p>
  <w:p w:rsidR="00B81830" w:rsidRDefault="00B81830"/>
  <w:p w:rsidR="00B81830" w:rsidRDefault="00B81830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F85">
      <w:rPr>
        <w:rStyle w:val="a7"/>
        <w:noProof/>
      </w:rPr>
      <w:t>2</w:t>
    </w:r>
    <w:r>
      <w:rPr>
        <w:rStyle w:val="a7"/>
      </w:rPr>
      <w:fldChar w:fldCharType="end"/>
    </w:r>
  </w:p>
  <w:p w:rsidR="00B81830" w:rsidRDefault="00B81830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B5" w:rsidRDefault="00E961B5">
      <w:r>
        <w:separator/>
      </w:r>
    </w:p>
  </w:footnote>
  <w:footnote w:type="continuationSeparator" w:id="0">
    <w:p w:rsidR="00E961B5" w:rsidRDefault="00E9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30" w:rsidRDefault="00B81830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B81830" w:rsidRDefault="00B81830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45B8B5A6" wp14:editId="5A1D78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3794316B" wp14:editId="4B389868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B81830" w:rsidRDefault="00B81830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A6D545D"/>
    <w:multiLevelType w:val="hybridMultilevel"/>
    <w:tmpl w:val="93B89AB4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0001DD"/>
    <w:multiLevelType w:val="hybridMultilevel"/>
    <w:tmpl w:val="91CA945C"/>
    <w:lvl w:ilvl="0" w:tplc="7564E8D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180FE5"/>
    <w:multiLevelType w:val="hybridMultilevel"/>
    <w:tmpl w:val="719E1300"/>
    <w:lvl w:ilvl="0" w:tplc="EDC2E6CA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3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F406B8"/>
    <w:multiLevelType w:val="hybridMultilevel"/>
    <w:tmpl w:val="E9364D76"/>
    <w:lvl w:ilvl="0" w:tplc="0402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4E"/>
    <w:rsid w:val="000074A6"/>
    <w:rsid w:val="00010311"/>
    <w:rsid w:val="00012693"/>
    <w:rsid w:val="00013148"/>
    <w:rsid w:val="00015227"/>
    <w:rsid w:val="0001526F"/>
    <w:rsid w:val="00016C46"/>
    <w:rsid w:val="000175E4"/>
    <w:rsid w:val="00017CD9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D13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3F85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0F7E05"/>
    <w:rsid w:val="0010112C"/>
    <w:rsid w:val="001015B4"/>
    <w:rsid w:val="001028AE"/>
    <w:rsid w:val="00104A29"/>
    <w:rsid w:val="00104C25"/>
    <w:rsid w:val="00105B7E"/>
    <w:rsid w:val="00110EB0"/>
    <w:rsid w:val="00112135"/>
    <w:rsid w:val="00113417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1246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58C7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569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0FDC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456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5787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C68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182E"/>
    <w:rsid w:val="00363850"/>
    <w:rsid w:val="00371815"/>
    <w:rsid w:val="00372B83"/>
    <w:rsid w:val="0037369B"/>
    <w:rsid w:val="003749A3"/>
    <w:rsid w:val="00374BE1"/>
    <w:rsid w:val="00374DA9"/>
    <w:rsid w:val="00376592"/>
    <w:rsid w:val="003767AD"/>
    <w:rsid w:val="003774FD"/>
    <w:rsid w:val="0038010F"/>
    <w:rsid w:val="0038122F"/>
    <w:rsid w:val="00383636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4F7A"/>
    <w:rsid w:val="003C68A8"/>
    <w:rsid w:val="003C7AC1"/>
    <w:rsid w:val="003D03A8"/>
    <w:rsid w:val="003D192A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2FCC"/>
    <w:rsid w:val="004E42A2"/>
    <w:rsid w:val="004E4376"/>
    <w:rsid w:val="004E4400"/>
    <w:rsid w:val="004E51F2"/>
    <w:rsid w:val="004E63CF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B85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2B44"/>
    <w:rsid w:val="00563556"/>
    <w:rsid w:val="005647AA"/>
    <w:rsid w:val="00565773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A7E5D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3FA"/>
    <w:rsid w:val="005C18CA"/>
    <w:rsid w:val="005C2349"/>
    <w:rsid w:val="005C25BF"/>
    <w:rsid w:val="005C3AB6"/>
    <w:rsid w:val="005D1C0A"/>
    <w:rsid w:val="005D3741"/>
    <w:rsid w:val="005D3BD6"/>
    <w:rsid w:val="005D452D"/>
    <w:rsid w:val="005D6773"/>
    <w:rsid w:val="005D7B33"/>
    <w:rsid w:val="005E042F"/>
    <w:rsid w:val="005E0693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07A4"/>
    <w:rsid w:val="00633F65"/>
    <w:rsid w:val="00635111"/>
    <w:rsid w:val="0063680F"/>
    <w:rsid w:val="0064127E"/>
    <w:rsid w:val="00642336"/>
    <w:rsid w:val="0064395F"/>
    <w:rsid w:val="00643DEB"/>
    <w:rsid w:val="00645398"/>
    <w:rsid w:val="00646005"/>
    <w:rsid w:val="0064658C"/>
    <w:rsid w:val="00646A69"/>
    <w:rsid w:val="00646FCB"/>
    <w:rsid w:val="00651039"/>
    <w:rsid w:val="0065417B"/>
    <w:rsid w:val="0065441D"/>
    <w:rsid w:val="00654F3D"/>
    <w:rsid w:val="00660146"/>
    <w:rsid w:val="00660CFA"/>
    <w:rsid w:val="00663986"/>
    <w:rsid w:val="006645B3"/>
    <w:rsid w:val="00664A08"/>
    <w:rsid w:val="00671106"/>
    <w:rsid w:val="0067195A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27FC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1172A"/>
    <w:rsid w:val="00814FF0"/>
    <w:rsid w:val="0081744B"/>
    <w:rsid w:val="008207F2"/>
    <w:rsid w:val="008212FA"/>
    <w:rsid w:val="008216C1"/>
    <w:rsid w:val="00823834"/>
    <w:rsid w:val="0082396C"/>
    <w:rsid w:val="00823DA9"/>
    <w:rsid w:val="00824393"/>
    <w:rsid w:val="00825D08"/>
    <w:rsid w:val="00827717"/>
    <w:rsid w:val="008300E5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47C8"/>
    <w:rsid w:val="008A5DEE"/>
    <w:rsid w:val="008A60BB"/>
    <w:rsid w:val="008A6688"/>
    <w:rsid w:val="008A6B34"/>
    <w:rsid w:val="008A7E7B"/>
    <w:rsid w:val="008B05DA"/>
    <w:rsid w:val="008B0EB1"/>
    <w:rsid w:val="008B29DA"/>
    <w:rsid w:val="008B2A4D"/>
    <w:rsid w:val="008B67E1"/>
    <w:rsid w:val="008B76FF"/>
    <w:rsid w:val="008B7B47"/>
    <w:rsid w:val="008B7D72"/>
    <w:rsid w:val="008C2476"/>
    <w:rsid w:val="008C4B32"/>
    <w:rsid w:val="008C71DF"/>
    <w:rsid w:val="008D23DB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7CDA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237"/>
    <w:rsid w:val="0096794D"/>
    <w:rsid w:val="00971994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4AB2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6888"/>
    <w:rsid w:val="00A77420"/>
    <w:rsid w:val="00A82A7D"/>
    <w:rsid w:val="00A83890"/>
    <w:rsid w:val="00A83FE4"/>
    <w:rsid w:val="00A85EE9"/>
    <w:rsid w:val="00A86370"/>
    <w:rsid w:val="00A90776"/>
    <w:rsid w:val="00A90C5C"/>
    <w:rsid w:val="00A91312"/>
    <w:rsid w:val="00A917BD"/>
    <w:rsid w:val="00A9252C"/>
    <w:rsid w:val="00A92BD1"/>
    <w:rsid w:val="00A93E44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DA9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1830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540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224E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1290"/>
    <w:rsid w:val="00CA340E"/>
    <w:rsid w:val="00CA34B6"/>
    <w:rsid w:val="00CA502B"/>
    <w:rsid w:val="00CA53A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4E5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06A"/>
    <w:rsid w:val="00D01619"/>
    <w:rsid w:val="00D030C7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271CB"/>
    <w:rsid w:val="00D30EB9"/>
    <w:rsid w:val="00D3183A"/>
    <w:rsid w:val="00D32959"/>
    <w:rsid w:val="00D32B93"/>
    <w:rsid w:val="00D32F8A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777A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CBD"/>
    <w:rsid w:val="00DF3A8E"/>
    <w:rsid w:val="00DF412C"/>
    <w:rsid w:val="00DF7CBA"/>
    <w:rsid w:val="00E0042B"/>
    <w:rsid w:val="00E014F8"/>
    <w:rsid w:val="00E01676"/>
    <w:rsid w:val="00E02764"/>
    <w:rsid w:val="00E04A89"/>
    <w:rsid w:val="00E04EF7"/>
    <w:rsid w:val="00E079F3"/>
    <w:rsid w:val="00E10135"/>
    <w:rsid w:val="00E10543"/>
    <w:rsid w:val="00E10C5E"/>
    <w:rsid w:val="00E11470"/>
    <w:rsid w:val="00E11484"/>
    <w:rsid w:val="00E13E93"/>
    <w:rsid w:val="00E149A4"/>
    <w:rsid w:val="00E15DD0"/>
    <w:rsid w:val="00E15F7F"/>
    <w:rsid w:val="00E1622B"/>
    <w:rsid w:val="00E17810"/>
    <w:rsid w:val="00E24C45"/>
    <w:rsid w:val="00E267CE"/>
    <w:rsid w:val="00E278F2"/>
    <w:rsid w:val="00E30A43"/>
    <w:rsid w:val="00E30D6A"/>
    <w:rsid w:val="00E30DCD"/>
    <w:rsid w:val="00E31E98"/>
    <w:rsid w:val="00E3403D"/>
    <w:rsid w:val="00E34332"/>
    <w:rsid w:val="00E37B91"/>
    <w:rsid w:val="00E417C7"/>
    <w:rsid w:val="00E43055"/>
    <w:rsid w:val="00E435CE"/>
    <w:rsid w:val="00E44612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961B5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30"/>
    <w:rsid w:val="00EB1145"/>
    <w:rsid w:val="00EB29D3"/>
    <w:rsid w:val="00EB3F03"/>
    <w:rsid w:val="00EB4728"/>
    <w:rsid w:val="00EB51D2"/>
    <w:rsid w:val="00EB5AEA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A68"/>
    <w:rsid w:val="00EE7CAC"/>
    <w:rsid w:val="00EF124A"/>
    <w:rsid w:val="00EF1C0D"/>
    <w:rsid w:val="00EF2925"/>
    <w:rsid w:val="00EF3DAB"/>
    <w:rsid w:val="00EF42A4"/>
    <w:rsid w:val="00EF6B12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281F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926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55D4-651A-49C1-879A-6F02E18B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8</cp:revision>
  <cp:lastPrinted>2013-06-17T06:33:00Z</cp:lastPrinted>
  <dcterms:created xsi:type="dcterms:W3CDTF">2014-01-24T14:14:00Z</dcterms:created>
  <dcterms:modified xsi:type="dcterms:W3CDTF">2014-02-03T13:23:00Z</dcterms:modified>
</cp:coreProperties>
</file>