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ПРОЕКТ</w:t>
      </w:r>
    </w:p>
    <w:p>
      <w:pPr>
        <w:pStyle w:val="style0"/>
        <w:jc w:val="right"/>
      </w:pPr>
      <w:r>
        <w:rPr/>
      </w:r>
    </w:p>
    <w:p>
      <w:pPr>
        <w:pStyle w:val="style80"/>
        <w:spacing w:after="200" w:before="0" w:line="276" w:lineRule="auto"/>
        <w:ind w:hanging="0" w:left="0" w:right="0"/>
        <w:jc w:val="both"/>
      </w:pPr>
      <w:r>
        <w:rPr>
          <w:rStyle w:val="style45"/>
          <w:rFonts w:ascii="Times new roman" w:eastAsia="Calibri" w:hAnsi="Times new roman"/>
          <w:b w:val="false"/>
          <w:bCs w:val="false"/>
          <w:sz w:val="24"/>
          <w:szCs w:val="24"/>
          <w:lang w:val="ru-RU"/>
        </w:rPr>
        <w:t>I. Проект на</w:t>
      </w:r>
      <w:r>
        <w:rPr>
          <w:rStyle w:val="style45"/>
          <w:rFonts w:ascii="Times new roman" w:eastAsia="Calibri" w:hAnsi="Times new roman"/>
          <w:b w:val="false"/>
          <w:bCs w:val="false"/>
          <w:sz w:val="24"/>
          <w:szCs w:val="24"/>
        </w:rPr>
        <w:t xml:space="preserve"> Програма за определяне на общинските спортни обекти и съоръжения, техния статут, условията и реда за предоставянето им за ползване от спортните организации съгласно Закона за физическото възпитание и спорта и Правилника за прилагането му за 2018 г., която се приема на основание чл. 49, ал.1 от Закона за физическото възпитание и спорта. </w:t>
      </w:r>
    </w:p>
    <w:p>
      <w:pPr>
        <w:pStyle w:val="style80"/>
        <w:spacing w:after="200" w:before="0" w:line="276" w:lineRule="auto"/>
        <w:ind w:hanging="0" w:left="0" w:right="0"/>
        <w:jc w:val="both"/>
      </w:pPr>
      <w:r>
        <w:rPr>
          <w:rFonts w:ascii="Times new roman" w:eastAsia="Calibri" w:hAnsi="Times new roman"/>
          <w:sz w:val="24"/>
          <w:szCs w:val="24"/>
        </w:rPr>
        <w:t>Програмата е отворена и може да бъде актуализирана през годината.</w:t>
      </w:r>
    </w:p>
    <w:p>
      <w:pPr>
        <w:pStyle w:val="style80"/>
        <w:spacing w:after="200" w:before="0" w:line="276" w:lineRule="auto"/>
        <w:ind w:hanging="0" w:left="0" w:right="0"/>
        <w:jc w:val="both"/>
      </w:pPr>
      <w:r>
        <w:rPr>
          <w:rStyle w:val="style45"/>
          <w:rFonts w:ascii="Times new roman" w:eastAsia="Calibri" w:hAnsi="Times new roman"/>
          <w:sz w:val="24"/>
          <w:szCs w:val="24"/>
        </w:rPr>
        <w:t>Програмата съдържа:</w:t>
      </w:r>
    </w:p>
    <w:p>
      <w:pPr>
        <w:pStyle w:val="style80"/>
        <w:spacing w:after="200" w:before="0" w:line="276" w:lineRule="auto"/>
        <w:ind w:hanging="0" w:left="0" w:right="0"/>
        <w:jc w:val="both"/>
      </w:pPr>
      <w:r>
        <w:rPr>
          <w:rStyle w:val="style45"/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Style w:val="style45"/>
          <w:rFonts w:ascii="Times new roman" w:eastAsia="Calibri" w:hAnsi="Times new roman"/>
          <w:sz w:val="24"/>
          <w:szCs w:val="24"/>
        </w:rPr>
        <w:t>. Описание на общинските спортни обекти и съоръжения, които общината има намерение да предложи за предоставяне под наем, за предоставяне на концесия или да учреди  право на строеж;</w:t>
      </w:r>
    </w:p>
    <w:p>
      <w:pPr>
        <w:pStyle w:val="style4"/>
        <w:ind w:hanging="0" w:left="0" w:right="0"/>
      </w:pPr>
      <w:r>
        <w:rPr>
          <w:rStyle w:val="style45"/>
          <w:rFonts w:ascii="Times new roman" w:eastAsia="Calibri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Style w:val="style45"/>
          <w:rFonts w:ascii="Times new roman" w:eastAsia="Calibri" w:hAnsi="Times new roman"/>
          <w:b w:val="false"/>
          <w:bCs w:val="false"/>
          <w:sz w:val="24"/>
          <w:szCs w:val="24"/>
        </w:rPr>
        <w:t>.1   Предоставяне под наем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54"/>
        <w:gridCol w:w="8611"/>
      </w:tblGrid>
      <w:tr>
        <w:trPr>
          <w:trHeight w:hRule="atLeast" w:val="340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8"/>
              <w:spacing w:after="28" w:before="28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8"/>
              <w:spacing w:after="28" w:before="28"/>
            </w:pPr>
            <w:r>
              <w:rPr>
                <w:rFonts w:ascii="Times new roman" w:hAnsi="Times new roman"/>
                <w:sz w:val="24"/>
                <w:szCs w:val="24"/>
              </w:rPr>
              <w:t>Описание на недвижимия имот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Недвижим имот – публична общинска собственост, находящ се в гр. Пловдив, район „Западен”, бул.”Шести септември” №1, представляващ част от многофункционална сграда, с идентификатор на сградата 56784.514.239.1 по КК и КР на гр.Пловдив, със застроена площ 1017 кв.м., брой етажи 2, предназначение: спортна сграда, база построена в поземлен имот с идентификатор 56784.514.239 по КК и КР на гр.Пловдив, с площ 43 784 кв.м., трайно предназначение на територията: Урбанизирана, начин на трайно ползване: за обект комплекс за образование, за който поземлен имот е отреден УПИ І- спортно училище, кв. 4, по плана на Спортен комплекс „Отдих и култура”,  актуван с акт за общинска собственост № 985 от 20.03.2012г. на Община Пловдив, а именно: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спортна зала, 2 бр. стаи, баня и 2 бр. съблекални, разположени в приземен етаж от сградата и треньорска стая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разположена на трети  етаж от сградата,  с обща площ на частта от 398 кв.м., (съгласно очертание  с жълт контур на одобрен архитектурен проект изготвен от арх. Анастасов, одобрен на 11.06.1982г. от отдел „Архитектура и благоустройство”).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3"/>
              <w:spacing w:line="283" w:lineRule="exact"/>
              <w:ind w:hanging="0" w:left="0" w:right="0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Недвижим имот – публична общинска собственост, находящ се в гр. Пловдив, район „Западен”, бул.”Шести септември” №1, представляващ част от многофункционална сграда, с идентификатор 56784.514.239.1 по КК и КР на гр.Пловдив, със застроена площ 1017 кв.м., брой етажи 2, предназначение: спортна сграда, база построена в поземлен имот с идентификатор 56784.514.239 по КК и КР на гр.Пловдив, с площ 43 784 кв.м., трайно предназначение на територията: Урбанизирана, начин на трайно ползване: за обект комплекс за образование, за който поземлен имот е отреден УПИ І- спортно училище, кв. 4, по плана на Спортен комплекс „Отдих и култура”, актуван с акт за общинска собственост № 985 от 20.03.2012г. на Община Пловдив, а именно: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спортна зала и треньорска стая, разположени на първи етаж от сградата, 4 бр.съблекални, разположени в приземен етаж от сградата и треньорска стая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разположена на втори етаж от сградата, с обща площ на частта от 240 кв.м., (съгласно очертание  със син контур на одобрен архитектурен проект изготвен от арх. Анастасов, одобрен на 11.06.1982г. от отдел „Архитектура и благоустройство”). 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  <w:ind w:hanging="0" w:left="0" w:right="74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Недвижим имот – публична общинска собственост, находящ се в гр. Пловдив, район „Западен”, ул.”Ясна поляна”, а именно: поземлен имот с идентификатор 56784.510.817 по КК и КР на гр.Пловдив, с площ 13 916 кв.м., трайно предназначение на територията: Урбанизирана, начин на трайно ползване: За други видове спорт, за който поземлен имот е отреден УПИ IV (четвърти) – тенис комплекс, кв. 2 (втори) – нов, по плана на  Спортен комплекс „Отдих и култура”, гр.Пловдив, ведно с построената в имота сграда с идентификатор 56784.510.817.1 по КК и КР на гр.Пловдив, със застроена площ 318 кв.м., брой етажи 1 (един), предназначение: Друг вид сграда за обитаване, за който имот е съставен акт за публична общинска собственост № 465/16.04.2002г. на район „Западен”, Община Пловдив.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/“Л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shd w:fill="FFFFFF" w:val="clear"/>
              </w:rPr>
              <w:t>еко атлетически полигон“/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едвижим имот – публична общинска собственост, находящ се в гр. Пловдив, район „Западен”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бул.”Копривщица”№59, представляващ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спортни зали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 трибуните) в сграда с идентификатор 56784.510.822.2 по КК и КР на гр.Пловдив с площ 4523 кв.м., брой етажи 3, предназначение: Спортна сграда, база, построена в поземлен имот с идентификатор 56784.510.822 по КК и КР на гр.Пловдив, с площ 68 639 кв.м., трайно предназначение на територията: Урбанизирана, начин на трайно ползване: за други видове спорт, за който поземлен имот е отреден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стадион, кв.1, по плана на Спортен комплекс „Отдих и култура”, актуван с акт за публична общинска собственост № 1072/31.05.2013г. на Община Пловдив.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Недвижим имот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публична общинска собственост, находящ се в гр. Пловдив, район “Южен”, бул. “Никола Вапцаров”№1, представляващ поземлен имот с идентификатор 56784.530.9709 по КК и КР на гр.Пловдив, с площ от 82 280 кв.м., трайно предназначение на територията: Урбанизирана, начин на трайно ползване: За спортна зала, включен в УПИ I – Спортен комплекс, кв. 40 по плана на кв. “Въстанически” - юг, актуван с акт за публична общинска собственост № 1904/14.07.2016г. на Община Пловдив.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</w:pPr>
            <w:r>
              <w:rPr>
                <w:rFonts w:ascii="Times new roman" w:hAnsi="Times new roman"/>
                <w:sz w:val="24"/>
                <w:szCs w:val="24"/>
              </w:rPr>
              <w:t>ул. „Асеновградско шосе“ № 8 /„Многофункционална спортна зала” Колодрум/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актувана с акт за частна общинска собственост № 1686/06.11.2015г. на Община Пловдив.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  <w:ind w:hanging="0" w:left="0" w:right="0"/>
              <w:jc w:val="both"/>
            </w:pPr>
            <w:r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lang w:eastAsia="en-US" w:val="en-US"/>
              </w:rPr>
              <w:t>Недвижим имот – частна общинска собственост, находящ се в ж.к. “Тракия”, представляващ сграда с идентификатор 56784.540.1325.1 по КК и КР на гр.Пловдив, със застроена площ 273 кв.м., брой етажи 1 (един), построена в поземлен имот с идентификатор 56784.540.1325, с площ от 1726 кв.м., с трайно предназначение на  територията: Урбанизирана и с начин на трайно ползване: Комплексно застрояване, за който имот е отреден УПИ VI 540.202 – обществено обслужващи дейности, кв.22, по плана на Ж.Р. “Тракия”, актуван с акт за частна общинска собственост № 2199/26.04.2017г. на Община Пловдив.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fill="FFFFFF" w:val="clear"/>
                <w:lang w:eastAsia="bg-BG"/>
              </w:rPr>
              <w:t xml:space="preserve">Недвижим имот – публична общинска собственост, находящ се в гр.Пловдив, район „Северен“, бул. „Дунав“ №124, представляващ сграда с идентификатор 56784.507.74.1 по КК и КР на гр.Пловдив, със застроена площ 796 кв.м., брой етажи: 1, предназначение: Спортна сграда, база, построена в поземлен имот с идентификатор 56784.507.74 по КК и КР на гр.Пловдив, с площ от 5353 кв.м., с трайно предназначение на територията: Урбанизирана и с начин на трайно ползване: За друг вид озеленени площи, номер по предходен план: 74, квартал: 137, парцел: I – озеленяване и спортна площадка; представляващ УПИ I – 507.74, спорт и атракции, кв. 137 по регулационния план на кв. Северно от панаирни палати, одобрен със заповеди №№ 148/11.05.1968г. и 10 ОА 318/22.02.2010г., актуван с акт за публична общинска собственост № 1249/01.07.2013г. на Община Пловдив.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fill="FFFFFF" w:val="clear"/>
                <w:lang w:eastAsia="bg-BG"/>
              </w:rPr>
              <w:t>/Зала „Дунав“/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0" w:before="0" w:line="283" w:lineRule="exact"/>
              <w:jc w:val="both"/>
            </w:pPr>
            <w:r>
              <w:rPr>
                <w:rFonts w:ascii="Times new roman" w:cs="Times New Roman" w:hAnsi="Times new roman"/>
                <w:iCs/>
                <w:color w:val="000000"/>
                <w:sz w:val="24"/>
                <w:szCs w:val="24"/>
                <w:shd w:fill="FFFFFF" w:val="clear"/>
                <w:lang w:eastAsia="bg-BG" w:val="bg-BG"/>
              </w:rPr>
              <w:t>Н</w:t>
            </w:r>
            <w:r>
              <w:rPr>
                <w:rFonts w:ascii="Times new roman" w:cs="Times New Roman" w:hAnsi="Times new roman"/>
                <w:iCs/>
                <w:color w:val="000000"/>
                <w:sz w:val="24"/>
                <w:szCs w:val="24"/>
                <w:shd w:fill="FFFFFF" w:val="clear"/>
                <w:lang w:eastAsia="en-US" w:val="bg-BG"/>
              </w:rPr>
              <w:t xml:space="preserve">едвижим имот – публична общинска собственост, находящ се в гр.Пловдив, бул.“Македония”№6, представляващ част от сграда с идентификатор  56784.530.2002.1 по КК и КР на гр.Пловдив, а именно: баня с площ от 12.01 кв.м., WC с площ от 1.45 кв.м., WC с площ от 1.54 кв.м., антре с площ от 4.53 кв.м., съблеканя с площ от 26.42 кв.м., склад с площ от 12.72 кв.м., лекарски кабинет с площ от 12.51 кв.м., предверие с площ от 4.22 кв.м., фоайе с площ от 34.76 кв.м., предверие с площ от 4.47 кв.м., помещение за охрана с площ от 11.53 кв.м., склад с площ от 13.11 кв.м., съблекалня с площ от 24.71 кв.м., перално с площ от 12.61 кв.м., сауна с площ от 12.86 кв.м., помещение за бойлер с площ от 1.64 кв.м., антре с площ от 4.06 кв.м., баня с площ от 1.37 кв.м., коридор с площ от 25.24 кв.м., коридор с площ от 28.77 кв.м., площадка с площ от 4.85 кв.м., разположени на първи етаж от сградата и площадка с площ от 3.90 кв.м., канцелария с площ от 21.59 кв.м., предверие с площ от 2.20 кв.м., площадка с площ от 5.76 кв.м., площадка с площ от 4.85 кв.м., канцелария с площ от 14.77 кв.м., канцелария с площ от 14.81 кв.м., канцелария с площ от 10.63 кв.м., коридор с площ от 11.20 кв.м.,WC с площ от 2.39 кв.м., WC с площ от 2.47 кв.м., разположени на втория етаж от сградата, с обща площ на частите от 349.95 кв.м. (съгласно архитектурно заснемане на зала и обслужващи помещения под и зад трибуните в ПИ 56784.530.2002, попадащ в УПИ I-530.1998, спортна и търговска дейност, кв.1, по плана на кв. „Въстанически-север“, гр.Пловдив, изготвено от инж. Цвета Цанкова и техн. Георги Ганев от XII.2016г.), ведно с ПИ с идентификатор 56784.530.2002 по КК и КР на гр.Пловдив, с площ на имота по КК от 24 784 кв.м., с трайно предназначение на територията Урбанизирана, начин на трайно ползване: Стадион, за който е отреден УПИ I – 530.1998, спортна и търговска дейност, кв.1 по плана на кв. “Въстанически” - север, за който е съставен акт № 1578/09.06.2011г. за поправка на акт за публична общинска собственост № 1551/04.05.2011г. </w:t>
            </w:r>
            <w:r>
              <w:rPr>
                <w:rFonts w:ascii="Times new roman" w:cs="Times New Roman" w:hAnsi="Times new roman"/>
                <w:b/>
                <w:bCs/>
                <w:iCs/>
                <w:color w:val="000000"/>
                <w:sz w:val="24"/>
                <w:szCs w:val="24"/>
                <w:shd w:fill="FFFFFF" w:val="clear"/>
                <w:lang w:eastAsia="en-US" w:val="bg-BG"/>
              </w:rPr>
              <w:t>/</w:t>
            </w:r>
            <w:r>
              <w:rPr>
                <w:rFonts w:ascii="Times new roman" w:cs="Times New Roman" w:hAnsi="Times new roman"/>
                <w:b/>
                <w:bCs/>
                <w:iCs/>
                <w:color w:val="000000"/>
                <w:sz w:val="24"/>
                <w:szCs w:val="24"/>
                <w:u w:val="none"/>
                <w:shd w:fill="FFFFFF" w:val="clear"/>
                <w:lang w:eastAsia="en-US" w:val="bg-BG"/>
              </w:rPr>
              <w:t>стадион „Тодор Диев“/</w:t>
            </w:r>
          </w:p>
        </w:tc>
      </w:tr>
    </w:tbl>
    <w:p>
      <w:pPr>
        <w:pStyle w:val="style0"/>
        <w:spacing w:after="200" w:before="0" w:line="276" w:lineRule="auto"/>
      </w:pPr>
      <w:r>
        <w:rPr>
          <w:sz w:val="24"/>
          <w:szCs w:val="24"/>
        </w:rPr>
      </w:r>
    </w:p>
    <w:p>
      <w:pPr>
        <w:pStyle w:val="style4"/>
        <w:ind w:hanging="0" w:left="737" w:right="0"/>
      </w:pPr>
      <w:r>
        <w:rPr>
          <w:rFonts w:ascii="Times new roman" w:eastAsia="Calibri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b w:val="false"/>
          <w:bCs w:val="false"/>
          <w:sz w:val="24"/>
          <w:szCs w:val="24"/>
        </w:rPr>
        <w:t>.2   Предоставяне на концесия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54"/>
        <w:gridCol w:w="8611"/>
      </w:tblGrid>
      <w:tr>
        <w:trPr>
          <w:trHeight w:hRule="atLeast" w:val="340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8"/>
              <w:spacing w:after="28" w:before="28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78"/>
              <w:spacing w:after="28" w:before="28"/>
            </w:pPr>
            <w:r>
              <w:rPr>
                <w:rFonts w:ascii="Times new roman" w:hAnsi="Times new roman"/>
                <w:sz w:val="24"/>
                <w:szCs w:val="24"/>
              </w:rPr>
              <w:t>Описание на недвижимия имот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Стадион „Локомотив” и прилежащите му площи в УПИ VI – 575 обществено обслужване и спортни дейности, кв. 1 – нов по ПУП на ВСИ, ЖР „Тракия”, гр. Пловдив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представляващ ПИ с идентификатор 56784.540.81, с площ 96 895 кв.м.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Недвижим имот – публична общинска собственост, находящ се в гр. Пловдив, район „Западен”, ул. „Ясна поляна”, представляващ поземлен имот с идентификатор 56784.510.819 по КК и КР на гр.Пловдив, с площ 10 698 кв.м., трайно предназначение на територията: Урбанизирана, начин на трайно ползване: з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водна спортна база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представляващ УПИ І – тренировъчна база гребане, кв. 2 – нов по плана на Спортен комплекс „Отдих и култура”, ведно с построените:</w:t>
            </w:r>
          </w:p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Сграда с идентификатор 56784.510.819.2 по КК и КР на гр.Пловдив, със застроена площ 941 кв.м., брой етажи 2, предназначение: Друг вид сграда за обитаване</w:t>
            </w:r>
          </w:p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Сграда с идентификатор 56784.510.819.3 по КК и КР на гр.Пловдив, с площ от 134 кв.м., брой етажи-2, предназначение: друг вид сграда за обитаване, </w:t>
            </w:r>
          </w:p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Сграда с идентификатор 56784.510.819.4 по КК и КР на гр.Пловдив, със застроена площ 739 кв.м., брой етажи 1, предназначение: Друг вид сграда за обитаване</w:t>
            </w:r>
          </w:p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Сграда с идентификатор 56784.510.819.5 по КК и КР на гр.Пловдив, със застроена площ от 130 кв.м., брой етажи-1, предназначение: друг вид сграда за обитаване, </w:t>
            </w:r>
          </w:p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Сграда с идентификатор 56784.510.819.6, по КК и КР на гр.Пловдив, със застроена площ от 24 кв.м., брой етажи-1, предназначение: друг вид сграда за обитаване</w:t>
            </w:r>
          </w:p>
          <w:p>
            <w:pPr>
              <w:pStyle w:val="style0"/>
              <w:spacing w:line="283" w:lineRule="exac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6. Сграда с идентификатор 56784.510.819.7 по КК и КР на гр.Пловдив, със застроена площ 434 кв.м., брой етажи 2, предназначение: Друг вид сграда за обитаване, </w:t>
            </w:r>
          </w:p>
          <w:p>
            <w:pPr>
              <w:pStyle w:val="style0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 който имот е съставен акт за публична общинска собственост № 482/09.08.2002г. на район „Западен”, Община Пловдив.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едвижим имот – публична общинска собственост, находящ се в гр. Пловдив, район „Западен”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бул. „Копривщица” №59, представляващ Стадион „Пловдив”, ПИ с идентификатор 56784.510.822, с площ 68 636 кв.м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81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8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едвижим имот – публична общинска собственост, находящ се в гр. Пловдив, район „Тракия”,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представляващ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214, 215 – образование, спорт, зеленина и обществено обслужване в кв. 1, жил. Гр. А 7, 8, район „Тракия”, гр. Пловдив, ПИ с идентификатор 56784.540.1130, с площ 47 192 кв.м.</w:t>
            </w:r>
          </w:p>
        </w:tc>
      </w:tr>
    </w:tbl>
    <w:p>
      <w:pPr>
        <w:pStyle w:val="style0"/>
      </w:pPr>
      <w:bookmarkStart w:id="0" w:name="_Toc4585263021"/>
      <w:bookmarkStart w:id="1" w:name="_Toc4585263021"/>
      <w:bookmarkEnd w:id="1"/>
      <w:r>
        <w:rPr>
          <w:sz w:val="24"/>
          <w:szCs w:val="24"/>
        </w:rPr>
      </w:r>
    </w:p>
    <w:p>
      <w:pPr>
        <w:pStyle w:val="style0"/>
      </w:pPr>
      <w:r>
        <w:rPr>
          <w:rStyle w:val="style45"/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Style w:val="style45"/>
          <w:rFonts w:ascii="Times new roman" w:hAnsi="Times new roman"/>
          <w:b/>
          <w:sz w:val="24"/>
          <w:szCs w:val="24"/>
        </w:rPr>
        <w:t>. Условия и ред за предоставянето на спортните обекти и съоръжения за ползване от спортните организации.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Style w:val="style45"/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Style w:val="style45"/>
          <w:rFonts w:ascii="Times new roman" w:hAnsi="Times new roman"/>
          <w:b/>
          <w:sz w:val="24"/>
          <w:szCs w:val="24"/>
        </w:rPr>
        <w:t>.1.  Отдаване под наем.</w:t>
      </w:r>
    </w:p>
    <w:p>
      <w:pPr>
        <w:pStyle w:val="style0"/>
      </w:pPr>
      <w:r>
        <w:rPr>
          <w:rStyle w:val="style45"/>
          <w:rFonts w:ascii="Times new roman" w:hAnsi="Times new roman"/>
          <w:sz w:val="24"/>
          <w:szCs w:val="24"/>
        </w:rPr>
        <w:tab/>
        <w:t xml:space="preserve">Спортни обекти или обособени части от тях - публична общинска собственост, могат да се отдават под наем на спортни организации по смисъла на </w:t>
      </w:r>
      <w:r>
        <w:rPr>
          <w:rFonts w:ascii="Times new roman" w:hAnsi="Times new roman"/>
          <w:sz w:val="24"/>
          <w:szCs w:val="24"/>
          <w:lang w:val="ru-RU"/>
        </w:rPr>
        <w:t>чл. 10, ал. 2</w:t>
      </w:r>
      <w:r>
        <w:rPr>
          <w:rStyle w:val="style45"/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Закона за физическото възпитание и спорта</w:t>
      </w:r>
      <w:r>
        <w:rPr>
          <w:rStyle w:val="style45"/>
          <w:rFonts w:ascii="Times new roman" w:hAnsi="Times new roman"/>
          <w:sz w:val="24"/>
          <w:szCs w:val="24"/>
        </w:rPr>
        <w:t xml:space="preserve"> - юридически лица с нестопанска цел, за осъществяване на общественополезна дейност, чиято основна дейност съответства на предназначението на имота. </w:t>
      </w:r>
    </w:p>
    <w:p>
      <w:pPr>
        <w:pStyle w:val="style0"/>
      </w:pPr>
      <w:r>
        <w:rPr>
          <w:rStyle w:val="style45"/>
          <w:rFonts w:ascii="Times new roman" w:hAnsi="Times new roman"/>
          <w:sz w:val="24"/>
          <w:szCs w:val="24"/>
        </w:rPr>
        <w:tab/>
        <w:t xml:space="preserve">Право да кандидатстват за отдаване под наем на спортни обекти-частна общинска собственост, имат само спортните организации по </w:t>
      </w:r>
      <w:r>
        <w:rPr>
          <w:rFonts w:ascii="Times new roman" w:hAnsi="Times new roman"/>
          <w:sz w:val="24"/>
          <w:szCs w:val="24"/>
          <w:lang w:val="ru-RU"/>
        </w:rPr>
        <w:t>чл. 10, ал. 2</w:t>
      </w:r>
      <w:r>
        <w:rPr>
          <w:rStyle w:val="style45"/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Закона за физическото възпитание и спорта</w:t>
      </w:r>
      <w:r>
        <w:rPr>
          <w:rStyle w:val="style45"/>
          <w:rFonts w:ascii="Times new roman" w:hAnsi="Times new roman"/>
          <w:sz w:val="24"/>
          <w:szCs w:val="24"/>
        </w:rPr>
        <w:t xml:space="preserve"> и спортните клубове по </w:t>
      </w:r>
      <w:r>
        <w:rPr>
          <w:rFonts w:ascii="Times new roman" w:hAnsi="Times new roman"/>
          <w:sz w:val="24"/>
          <w:szCs w:val="24"/>
          <w:lang w:val="ru-RU"/>
        </w:rPr>
        <w:t>чл. 11</w:t>
      </w:r>
      <w:r>
        <w:rPr>
          <w:rStyle w:val="style45"/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чл. 12, ал. 1</w:t>
      </w:r>
      <w:r>
        <w:rPr>
          <w:rStyle w:val="style45"/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Закона за физическото възпитание и спорта</w:t>
      </w:r>
      <w:r>
        <w:rPr>
          <w:rStyle w:val="style45"/>
          <w:rFonts w:ascii="Times new roman" w:hAnsi="Times new roman"/>
          <w:sz w:val="24"/>
          <w:szCs w:val="24"/>
        </w:rPr>
        <w:t xml:space="preserve">. </w:t>
      </w:r>
    </w:p>
    <w:p>
      <w:pPr>
        <w:pStyle w:val="style0"/>
      </w:pPr>
      <w:r>
        <w:rPr>
          <w:rStyle w:val="style45"/>
          <w:rFonts w:ascii="Times new roman" w:hAnsi="Times new roman"/>
          <w:color w:val="000000"/>
          <w:sz w:val="24"/>
          <w:szCs w:val="24"/>
        </w:rPr>
        <w:tab/>
        <w:t>Обособените части от спортни обекти - частна общинска собствено</w:t>
      </w:r>
      <w:r>
        <w:rPr>
          <w:rStyle w:val="style45"/>
          <w:rFonts w:ascii="Times new roman" w:hAnsi="Times new roman"/>
          <w:sz w:val="24"/>
          <w:szCs w:val="24"/>
        </w:rPr>
        <w:t xml:space="preserve">ст, както и обособените части за обслужващи и спомагателни дейности могат да се отдават под наем на юридически и физически лица само ако това не създава пречки за използването им по тяхното основно предназначение.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Не може да бъде наемател физическо или юридическо лице, за което е налице едно от следните обстоятелства: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1. обявено е в несъстоятелност или е в производство за обявяване в несъстоятелност;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2. намира се в ликвидация;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3. ако е с отнета или прекратена спортна лицензия;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4. ако е с прекратено членство в лицензирана спортна организация;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5. лишено е от правото да упражнява търговска дейност;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 xml:space="preserve">6.  има парични задължения към държавата или общината, установени с влязъл в сила акт на компетентен орган, или задължения към осигурителни фондове;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ab/>
        <w:t>7. осъдено е с влязла в сила присъда за престъпления против собствеността или против стопанството, освен ако е било реабилитирано (отнася и за управителите или членовете на управителните органи на юридическите лица, кандидатстващи за отдаване под наем.)</w:t>
      </w:r>
    </w:p>
    <w:p>
      <w:pPr>
        <w:pStyle w:val="style0"/>
      </w:pPr>
      <w:r>
        <w:rPr>
          <w:rStyle w:val="style45"/>
          <w:rFonts w:ascii="Times new roman" w:hAnsi="Times new roman"/>
          <w:sz w:val="24"/>
          <w:szCs w:val="24"/>
        </w:rPr>
        <w:tab/>
        <w:t xml:space="preserve">8.  има просрочени задължения, произтичащи от ползването на спортни обекти и съоръжения-собственост на търговски дружества с 50 или над 50 на сто държавно или общинско участие в капитала.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Style w:val="style46"/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Style w:val="style46"/>
          <w:rFonts w:ascii="Times new roman" w:hAnsi="Times new roman"/>
          <w:b/>
          <w:sz w:val="24"/>
          <w:szCs w:val="24"/>
        </w:rPr>
        <w:t xml:space="preserve">.2. Предоставяне на концесия </w:t>
      </w:r>
    </w:p>
    <w:p>
      <w:pPr>
        <w:pStyle w:val="style0"/>
        <w:tabs>
          <w:tab w:leader="none" w:pos="0" w:val="left"/>
          <w:tab w:leader="none" w:pos="708" w:val="left"/>
        </w:tabs>
      </w:pPr>
      <w:r>
        <w:rPr>
          <w:rStyle w:val="style46"/>
          <w:rFonts w:ascii="Times new roman" w:hAnsi="Times new roman"/>
          <w:b/>
          <w:i/>
          <w:iCs/>
          <w:sz w:val="24"/>
          <w:szCs w:val="24"/>
          <w:lang w:val="ru-RU"/>
        </w:rPr>
        <w:tab/>
      </w:r>
      <w:r>
        <w:rPr>
          <w:rStyle w:val="style46"/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Спортни имоти-общинска собственост, могат да се предоставят на физически и юридически лица чрез концесия по реда на </w:t>
      </w:r>
      <w:r>
        <w:rPr>
          <w:rStyle w:val="style41"/>
          <w:rFonts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Закона за концесиите</w:t>
      </w:r>
      <w:r>
        <w:rPr>
          <w:rStyle w:val="style46"/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right"/>
      <w:pPr>
        <w:ind w:hanging="360" w:left="360"/>
      </w:pPr>
      <w:rPr>
        <w:b/>
        <w:bCs/>
      </w:rPr>
    </w:lvl>
    <w:lvl w:ilvl="1">
      <w:start w:val="1"/>
      <w:numFmt w:val="decimal"/>
      <w:lvlText w:val="%1.%2."/>
      <w:lvlJc w:val="left"/>
      <w:pPr>
        <w:ind w:hanging="0" w:left="0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%1."/>
      <w:lvlJc w:val="right"/>
      <w:pPr>
        <w:ind w:hanging="360" w:left="360"/>
      </w:pPr>
      <w:rPr>
        <w:b/>
        <w:bCs/>
      </w:rPr>
    </w:lvl>
    <w:lvl w:ilvl="1">
      <w:start w:val="1"/>
      <w:numFmt w:val="decimal"/>
      <w:lvlText w:val="%1.%2."/>
      <w:lvlJc w:val="left"/>
      <w:pPr>
        <w:ind w:hanging="0" w:left="0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По подразбиране"/>
    <w:next w:val="style0"/>
    <w:pPr>
      <w:widowControl/>
      <w:tabs>
        <w:tab w:leader="none" w:pos="708" w:val="left"/>
      </w:tabs>
      <w:suppressAutoHyphens w:val="true"/>
      <w:jc w:val="both"/>
    </w:pPr>
    <w:rPr>
      <w:rFonts w:ascii="Verdana" w:cs="Verdana" w:eastAsia="Calibri" w:hAnsi="Verdana"/>
      <w:color w:val="000000"/>
      <w:sz w:val="24"/>
      <w:szCs w:val="24"/>
      <w:lang w:bidi="ar-SA" w:eastAsia="bg-BG" w:val="bg-BG"/>
    </w:rPr>
  </w:style>
  <w:style w:styleId="style1" w:type="paragraph">
    <w:name w:val="Заглавие 1"/>
    <w:basedOn w:val="style0"/>
    <w:next w:val="style55"/>
    <w:pPr>
      <w:keepNext/>
      <w:keepLines/>
      <w:spacing w:after="0" w:before="480"/>
    </w:pPr>
    <w:rPr>
      <w:rFonts w:ascii="Cambria" w:eastAsia="Times New Roman" w:hAnsi="Cambria"/>
      <w:b/>
      <w:bCs/>
      <w:color w:val="1F497D"/>
      <w:sz w:val="28"/>
      <w:szCs w:val="28"/>
    </w:rPr>
  </w:style>
  <w:style w:styleId="style2" w:type="paragraph">
    <w:name w:val="Заглавие 2"/>
    <w:basedOn w:val="style0"/>
    <w:next w:val="style55"/>
    <w:pPr>
      <w:keepNext/>
      <w:keepLines/>
      <w:numPr>
        <w:ilvl w:val="1"/>
        <w:numId w:val="1"/>
      </w:numPr>
      <w:spacing w:after="28" w:before="200"/>
      <w:outlineLvl w:val="1"/>
    </w:pPr>
    <w:rPr>
      <w:rFonts w:ascii="Cambria" w:eastAsia="Times New Roman" w:hAnsi="Cambria"/>
      <w:b/>
      <w:bCs/>
      <w:i/>
      <w:iCs/>
      <w:color w:val="1F497D"/>
      <w:sz w:val="26"/>
      <w:szCs w:val="26"/>
    </w:rPr>
  </w:style>
  <w:style w:styleId="style3" w:type="paragraph">
    <w:name w:val="Заглавие 3"/>
    <w:basedOn w:val="style0"/>
    <w:next w:val="style55"/>
    <w:pPr>
      <w:keepNext/>
      <w:keepLines/>
      <w:numPr>
        <w:ilvl w:val="2"/>
        <w:numId w:val="1"/>
      </w:numPr>
      <w:spacing w:after="28" w:before="28"/>
      <w:outlineLvl w:val="2"/>
    </w:pPr>
    <w:rPr>
      <w:rFonts w:ascii="Cambria" w:eastAsia="Times New Roman" w:hAnsi="Cambria"/>
      <w:b/>
      <w:bCs/>
      <w:sz w:val="28"/>
      <w:szCs w:val="28"/>
    </w:rPr>
  </w:style>
  <w:style w:styleId="style4" w:type="paragraph">
    <w:name w:val="Заглавие 4"/>
    <w:basedOn w:val="style0"/>
    <w:next w:val="style55"/>
    <w:pPr>
      <w:keepNext/>
      <w:keepLines/>
      <w:numPr>
        <w:ilvl w:val="3"/>
        <w:numId w:val="1"/>
      </w:numPr>
      <w:spacing w:after="28" w:before="200"/>
      <w:ind w:hanging="0" w:left="737" w:right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hAnsi="Cambria"/>
      <w:b/>
      <w:color w:val="1F497D"/>
      <w:sz w:val="28"/>
      <w:lang w:eastAsia="zh-CN"/>
    </w:rPr>
  </w:style>
  <w:style w:styleId="style17" w:type="character">
    <w:name w:val="Heading 2 Char"/>
    <w:basedOn w:val="style15"/>
    <w:next w:val="style17"/>
    <w:rPr>
      <w:rFonts w:ascii="Cambria" w:eastAsia="Times New Roman" w:hAnsi="Cambria"/>
      <w:b/>
      <w:bCs/>
      <w:color w:val="1F497D"/>
      <w:sz w:val="26"/>
      <w:szCs w:val="26"/>
      <w:lang w:eastAsia="zh-CN"/>
    </w:rPr>
  </w:style>
  <w:style w:styleId="style18" w:type="character">
    <w:name w:val="Heading 3 Char"/>
    <w:basedOn w:val="style15"/>
    <w:next w:val="style18"/>
    <w:rPr>
      <w:rFonts w:ascii="Cambria" w:eastAsia="Times New Roman" w:hAnsi="Cambria"/>
      <w:b/>
      <w:bCs/>
      <w:sz w:val="24"/>
      <w:szCs w:val="24"/>
      <w:lang w:eastAsia="zh-CN"/>
    </w:rPr>
  </w:style>
  <w:style w:styleId="style19" w:type="character">
    <w:name w:val="Heading 4 Char"/>
    <w:basedOn w:val="style15"/>
    <w:next w:val="style19"/>
    <w:rPr>
      <w:rFonts w:ascii="Cambria" w:eastAsia="Times New Roman" w:hAnsi="Cambria"/>
      <w:b/>
      <w:bCs/>
      <w:i/>
      <w:iCs/>
      <w:sz w:val="24"/>
      <w:szCs w:val="24"/>
      <w:lang w:eastAsia="zh-CN"/>
    </w:rPr>
  </w:style>
  <w:style w:styleId="style20" w:type="character">
    <w:name w:val="Balloon Text Char"/>
    <w:basedOn w:val="style15"/>
    <w:next w:val="style20"/>
    <w:rPr>
      <w:rFonts w:ascii="Tahoma" w:eastAsia="SimSun" w:hAnsi="Tahoma"/>
      <w:sz w:val="16"/>
      <w:lang w:eastAsia="zh-CN"/>
    </w:rPr>
  </w:style>
  <w:style w:styleId="style21" w:type="character">
    <w:name w:val="HTML Preformatted Char"/>
    <w:basedOn w:val="style15"/>
    <w:next w:val="style21"/>
    <w:rPr>
      <w:rFonts w:ascii="Courier New" w:hAnsi="Courier New"/>
      <w:lang w:eastAsia="bg-BG" w:val="bg-BG"/>
    </w:rPr>
  </w:style>
  <w:style w:styleId="style22" w:type="character">
    <w:name w:val="Footer Char"/>
    <w:basedOn w:val="style15"/>
    <w:next w:val="style22"/>
    <w:rPr>
      <w:rFonts w:ascii="Times New Roman" w:eastAsia="SimSun" w:hAnsi="Times New Roman"/>
      <w:sz w:val="24"/>
      <w:lang w:eastAsia="zh-CN"/>
    </w:rPr>
  </w:style>
  <w:style w:styleId="style23" w:type="character">
    <w:name w:val="Footer Char1"/>
    <w:next w:val="style23"/>
    <w:rPr>
      <w:rFonts w:ascii="Times New Roman" w:eastAsia="SimSun" w:hAnsi="Times New Roman"/>
      <w:sz w:val="24"/>
      <w:lang w:eastAsia="zh-CN"/>
    </w:rPr>
  </w:style>
  <w:style w:styleId="style24" w:type="character">
    <w:name w:val="page number"/>
    <w:basedOn w:val="style15"/>
    <w:next w:val="style24"/>
    <w:rPr>
      <w:rFonts w:cs="Times New Roman"/>
    </w:rPr>
  </w:style>
  <w:style w:styleId="style25" w:type="character">
    <w:name w:val="Header Char"/>
    <w:basedOn w:val="style15"/>
    <w:next w:val="style25"/>
    <w:rPr>
      <w:rFonts w:ascii="Times New Roman" w:eastAsia="SimSun" w:hAnsi="Times New Roman"/>
      <w:sz w:val="24"/>
      <w:lang w:eastAsia="zh-CN"/>
    </w:rPr>
  </w:style>
  <w:style w:styleId="style26" w:type="character">
    <w:name w:val="Body Text Char"/>
    <w:basedOn w:val="style15"/>
    <w:next w:val="style26"/>
    <w:rPr>
      <w:rFonts w:ascii="Times New Roman" w:eastAsia="SimSun" w:hAnsi="Times New Roman"/>
      <w:sz w:val="24"/>
      <w:lang w:eastAsia="zh-CN"/>
    </w:rPr>
  </w:style>
  <w:style w:styleId="style27" w:type="character">
    <w:name w:val="Body Text Char1"/>
    <w:next w:val="style27"/>
    <w:rPr>
      <w:rFonts w:ascii="Times New Roman" w:hAnsi="Times New Roman"/>
      <w:sz w:val="24"/>
    </w:rPr>
  </w:style>
  <w:style w:styleId="style28" w:type="character">
    <w:name w:val="Body Text Char2"/>
    <w:next w:val="style28"/>
    <w:rPr>
      <w:rFonts w:ascii="Times New Roman" w:hAnsi="Times New Roman"/>
      <w:sz w:val="24"/>
      <w:lang w:eastAsia="bg-BG"/>
    </w:rPr>
  </w:style>
  <w:style w:styleId="style29" w:type="character">
    <w:name w:val="Footer Char2"/>
    <w:next w:val="style29"/>
    <w:rPr>
      <w:rFonts w:ascii="Times New Roman" w:hAnsi="Times New Roman"/>
      <w:sz w:val="24"/>
    </w:rPr>
  </w:style>
  <w:style w:styleId="style30" w:type="character">
    <w:name w:val="ListLabel 1"/>
    <w:next w:val="style30"/>
    <w:rPr/>
  </w:style>
  <w:style w:styleId="style31" w:type="character">
    <w:name w:val="ListLabel 2"/>
    <w:next w:val="style31"/>
    <w:rPr>
      <w:b/>
      <w:color w:val="000080"/>
    </w:rPr>
  </w:style>
  <w:style w:styleId="style32" w:type="character">
    <w:name w:val="ListLabel 3"/>
    <w:next w:val="style32"/>
    <w:rPr>
      <w:color w:val="0000FF"/>
    </w:rPr>
  </w:style>
  <w:style w:styleId="style33" w:type="character">
    <w:name w:val="ListLabel 4"/>
    <w:next w:val="style33"/>
    <w:rPr>
      <w:color w:val="00000A"/>
    </w:rPr>
  </w:style>
  <w:style w:styleId="style34" w:type="character">
    <w:name w:val="ListLabel 5"/>
    <w:next w:val="style34"/>
    <w:rPr>
      <w:b/>
    </w:rPr>
  </w:style>
  <w:style w:styleId="style35" w:type="character">
    <w:name w:val="ListLabel 6"/>
    <w:next w:val="style35"/>
    <w:rPr>
      <w:color w:val="00000A"/>
    </w:rPr>
  </w:style>
  <w:style w:styleId="style36" w:type="character">
    <w:name w:val="ListLabel 7"/>
    <w:next w:val="style36"/>
    <w:rPr>
      <w:color w:val="00000A"/>
    </w:rPr>
  </w:style>
  <w:style w:styleId="style37" w:type="character">
    <w:name w:val="ListLabel 8"/>
    <w:next w:val="style37"/>
    <w:rPr>
      <w:color w:val="00000A"/>
    </w:rPr>
  </w:style>
  <w:style w:styleId="style38" w:type="character">
    <w:name w:val="ListLabel 9"/>
    <w:next w:val="style38"/>
    <w:rPr/>
  </w:style>
  <w:style w:styleId="style39" w:type="character">
    <w:name w:val="Title Char"/>
    <w:basedOn w:val="style15"/>
    <w:next w:val="style39"/>
    <w:rPr>
      <w:rFonts w:ascii="Liberation Sans" w:eastAsia="Liberation Sans" w:hAnsi="Liberation Sans"/>
      <w:sz w:val="28"/>
      <w:lang w:eastAsia="en-US"/>
    </w:rPr>
  </w:style>
  <w:style w:styleId="style40" w:type="character">
    <w:name w:val="Subtitle Char"/>
    <w:basedOn w:val="style15"/>
    <w:next w:val="style40"/>
    <w:rPr>
      <w:rFonts w:ascii="Cambria" w:hAnsi="Cambria"/>
      <w:i/>
      <w:color w:val="4F81BD"/>
      <w:spacing w:val="15"/>
      <w:sz w:val="24"/>
      <w:lang w:eastAsia="zh-CN"/>
    </w:rPr>
  </w:style>
  <w:style w:styleId="style41" w:type="character">
    <w:name w:val="Връзка към Интернет"/>
    <w:basedOn w:val="style15"/>
    <w:next w:val="style41"/>
    <w:rPr>
      <w:rFonts w:cs="Times New Roman"/>
      <w:color w:val="0000FF"/>
      <w:u w:val="single"/>
      <w:lang w:bidi="bg-BG" w:eastAsia="bg-BG" w:val="bg-BG"/>
    </w:rPr>
  </w:style>
  <w:style w:styleId="style42" w:type="character">
    <w:name w:val="Document Map Char"/>
    <w:basedOn w:val="style15"/>
    <w:next w:val="style42"/>
    <w:rPr>
      <w:rFonts w:ascii="Tahoma" w:eastAsia="SimSun" w:hAnsi="Tahoma"/>
      <w:sz w:val="16"/>
      <w:lang w:eastAsia="zh-CN"/>
    </w:rPr>
  </w:style>
  <w:style w:styleId="style43" w:type="character">
    <w:name w:val="FollowedHyperlink"/>
    <w:basedOn w:val="style15"/>
    <w:next w:val="style43"/>
    <w:rPr>
      <w:color w:val="800080"/>
      <w:u w:val="single"/>
    </w:rPr>
  </w:style>
  <w:style w:styleId="style44" w:type="character">
    <w:name w:val="Font Style14"/>
    <w:next w:val="style44"/>
    <w:rPr>
      <w:rFonts w:ascii="Times New Roman" w:cs="Times New Roman" w:hAnsi="Times New Roman"/>
      <w:b/>
      <w:bCs w:val="false"/>
      <w:sz w:val="22"/>
    </w:rPr>
  </w:style>
  <w:style w:styleId="style45" w:type="character">
    <w:name w:val="WW-Default Paragraph Font"/>
    <w:next w:val="style45"/>
    <w:rPr/>
  </w:style>
  <w:style w:styleId="style46" w:type="character">
    <w:name w:val="al_a"/>
    <w:basedOn w:val="style15"/>
    <w:next w:val="style46"/>
    <w:rPr/>
  </w:style>
  <w:style w:styleId="style47" w:type="character">
    <w:name w:val="ListLabel 10"/>
    <w:next w:val="style47"/>
    <w:rPr>
      <w:b/>
      <w:bCs/>
    </w:rPr>
  </w:style>
  <w:style w:styleId="style48" w:type="character">
    <w:name w:val="ListLabel 11"/>
    <w:next w:val="style48"/>
    <w:rPr>
      <w:color w:val="00000A"/>
    </w:rPr>
  </w:style>
  <w:style w:styleId="style49" w:type="character">
    <w:name w:val="ListLabel 12"/>
    <w:next w:val="style49"/>
    <w:rPr>
      <w:rFonts w:cs="Times New Roman"/>
      <w:b/>
    </w:rPr>
  </w:style>
  <w:style w:styleId="style50" w:type="character">
    <w:name w:val="ListLabel 13"/>
    <w:next w:val="style50"/>
    <w:rPr>
      <w:b/>
      <w:bCs/>
    </w:rPr>
  </w:style>
  <w:style w:styleId="style51" w:type="character">
    <w:name w:val="ListLabel 14"/>
    <w:next w:val="style51"/>
    <w:rPr>
      <w:b/>
      <w:bCs/>
    </w:rPr>
  </w:style>
  <w:style w:styleId="style52" w:type="character">
    <w:name w:val="ListLabel 15"/>
    <w:next w:val="style52"/>
    <w:rPr>
      <w:b/>
      <w:bCs/>
    </w:rPr>
  </w:style>
  <w:style w:styleId="style53" w:type="character">
    <w:name w:val="ListLabel 16"/>
    <w:next w:val="style53"/>
    <w:rPr>
      <w:b/>
      <w:bCs/>
    </w:rPr>
  </w:style>
  <w:style w:styleId="style54" w:type="paragraph">
    <w:name w:val="Заглавие"/>
    <w:basedOn w:val="style0"/>
    <w:next w:val="style5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55" w:type="paragraph">
    <w:name w:val="Основен текст"/>
    <w:basedOn w:val="style0"/>
    <w:next w:val="style55"/>
    <w:pPr>
      <w:widowControl/>
      <w:spacing w:after="28" w:before="28"/>
    </w:pPr>
    <w:rPr>
      <w:rFonts w:eastAsia="Times New Roman"/>
      <w:lang w:eastAsia="bg-BG"/>
    </w:rPr>
  </w:style>
  <w:style w:styleId="style56" w:type="paragraph">
    <w:name w:val="Списък"/>
    <w:basedOn w:val="style55"/>
    <w:next w:val="style56"/>
    <w:pPr>
      <w:tabs>
        <w:tab w:leader="none" w:pos="708" w:val="left"/>
      </w:tabs>
      <w:suppressAutoHyphens w:val="true"/>
      <w:spacing w:after="28" w:before="28"/>
    </w:pPr>
    <w:rPr>
      <w:rFonts w:ascii="Calibri" w:cs="Calibri" w:hAnsi="Calibri"/>
    </w:rPr>
  </w:style>
  <w:style w:styleId="style57" w:type="paragraph">
    <w:name w:val="Надпис"/>
    <w:basedOn w:val="style0"/>
    <w:next w:val="style5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8" w:type="paragraph">
    <w:name w:val="Указател"/>
    <w:basedOn w:val="style0"/>
    <w:next w:val="style58"/>
    <w:pPr>
      <w:suppressLineNumbers/>
    </w:pPr>
    <w:rPr>
      <w:rFonts w:cs="Lohit Hindi"/>
    </w:rPr>
  </w:style>
  <w:style w:styleId="style59" w:type="paragraph">
    <w:name w:val="Balloon Text"/>
    <w:basedOn w:val="style0"/>
    <w:next w:val="style59"/>
    <w:pPr/>
    <w:rPr>
      <w:rFonts w:ascii="Tahoma" w:cs="Tahoma" w:hAnsi="Tahoma"/>
      <w:sz w:val="16"/>
      <w:szCs w:val="16"/>
    </w:rPr>
  </w:style>
  <w:style w:styleId="style60" w:type="paragraph">
    <w:name w:val="List Paragraph1"/>
    <w:basedOn w:val="style0"/>
    <w:next w:val="style60"/>
    <w:pPr>
      <w:widowControl/>
      <w:ind w:hanging="0" w:left="720" w:right="0"/>
    </w:pPr>
    <w:rPr>
      <w:rFonts w:eastAsia="Times New Roman"/>
      <w:lang w:eastAsia="en-US"/>
    </w:rPr>
  </w:style>
  <w:style w:styleId="style61" w:type="paragraph">
    <w:name w:val="Body Text 31"/>
    <w:basedOn w:val="style0"/>
    <w:next w:val="style61"/>
    <w:pPr>
      <w:keepLines/>
      <w:widowControl/>
      <w:overflowPunct w:val="true"/>
    </w:pPr>
    <w:rPr>
      <w:rFonts w:ascii="Arial" w:cs="Arial" w:eastAsia="Times New Roman" w:hAnsi="Arial"/>
      <w:b/>
      <w:bCs/>
      <w:sz w:val="20"/>
      <w:szCs w:val="20"/>
      <w:lang w:eastAsia="bg-BG"/>
    </w:rPr>
  </w:style>
  <w:style w:styleId="style62" w:type="paragraph">
    <w:name w:val="HTML Preformatted"/>
    <w:basedOn w:val="style0"/>
    <w:next w:val="style62"/>
    <w:pPr>
      <w:widowControl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eastAsia="Times New Roman" w:hAnsi="Courier New"/>
      <w:sz w:val="20"/>
      <w:szCs w:val="20"/>
      <w:lang w:eastAsia="bg-BG"/>
    </w:rPr>
  </w:style>
  <w:style w:styleId="style63" w:type="paragraph">
    <w:name w:val="Долен колонтитул"/>
    <w:basedOn w:val="style0"/>
    <w:next w:val="style63"/>
    <w:pPr>
      <w:suppressLineNumbers/>
      <w:tabs>
        <w:tab w:leader="none" w:pos="4536" w:val="center"/>
        <w:tab w:leader="none" w:pos="9072" w:val="right"/>
      </w:tabs>
    </w:pPr>
    <w:rPr/>
  </w:style>
  <w:style w:styleId="style64" w:type="paragraph">
    <w:name w:val="List Paragraph"/>
    <w:basedOn w:val="style0"/>
    <w:next w:val="style64"/>
    <w:pPr>
      <w:widowControl/>
      <w:ind w:hanging="0" w:left="720" w:right="0"/>
    </w:pPr>
    <w:rPr>
      <w:rFonts w:eastAsia="Times New Roman"/>
      <w:lang w:eastAsia="en-US"/>
    </w:rPr>
  </w:style>
  <w:style w:styleId="style65" w:type="paragraph">
    <w:name w:val="Revision"/>
    <w:next w:val="style65"/>
    <w:pPr>
      <w:widowControl/>
      <w:tabs>
        <w:tab w:leader="none" w:pos="708" w:val="left"/>
      </w:tabs>
      <w:suppressAutoHyphens w:val="true"/>
    </w:pPr>
    <w:rPr>
      <w:rFonts w:ascii="Times New Roman" w:cs="Times New Roman" w:eastAsia="SimSun" w:hAnsi="Times New Roman"/>
      <w:color w:val="00000A"/>
      <w:sz w:val="24"/>
      <w:szCs w:val="24"/>
      <w:lang w:bidi="ar-SA" w:eastAsia="zh-CN" w:val="bg-BG"/>
    </w:rPr>
  </w:style>
  <w:style w:styleId="style66" w:type="paragraph">
    <w:name w:val="caption"/>
    <w:basedOn w:val="style0"/>
    <w:next w:val="style66"/>
    <w:pPr/>
    <w:rPr>
      <w:b/>
      <w:bCs/>
      <w:sz w:val="20"/>
      <w:szCs w:val="20"/>
    </w:rPr>
  </w:style>
  <w:style w:styleId="style67" w:type="paragraph">
    <w:name w:val="Горен колонтитул"/>
    <w:basedOn w:val="style0"/>
    <w:next w:val="style67"/>
    <w:pPr>
      <w:suppressLineNumbers/>
      <w:tabs>
        <w:tab w:leader="none" w:pos="4536" w:val="center"/>
        <w:tab w:leader="none" w:pos="9072" w:val="right"/>
      </w:tabs>
    </w:pPr>
    <w:rPr/>
  </w:style>
  <w:style w:styleId="style68" w:type="paragraph">
    <w:name w:val="Списък на абзаци1"/>
    <w:basedOn w:val="style0"/>
    <w:next w:val="style68"/>
    <w:pPr>
      <w:widowControl/>
      <w:ind w:hanging="0" w:left="720" w:right="0"/>
    </w:pPr>
    <w:rPr>
      <w:rFonts w:eastAsia="Times New Roman"/>
      <w:lang w:eastAsia="en-US"/>
    </w:rPr>
  </w:style>
  <w:style w:styleId="style69" w:type="paragraph">
    <w:name w:val="Заглавие на документ"/>
    <w:basedOn w:val="style0"/>
    <w:next w:val="style70"/>
    <w:pPr>
      <w:keepNext/>
      <w:spacing w:after="120" w:before="240"/>
      <w:jc w:val="center"/>
    </w:pPr>
    <w:rPr>
      <w:rFonts w:ascii="Liberation Sans" w:cs="Liberation Sans" w:eastAsia="Liberation Sans" w:hAnsi="Liberation Sans"/>
      <w:b/>
      <w:bCs/>
      <w:sz w:val="28"/>
      <w:szCs w:val="28"/>
    </w:rPr>
  </w:style>
  <w:style w:styleId="style70" w:type="paragraph">
    <w:name w:val="Подзаглавие"/>
    <w:basedOn w:val="style0"/>
    <w:next w:val="style55"/>
    <w:pPr>
      <w:jc w:val="center"/>
    </w:pPr>
    <w:rPr>
      <w:rFonts w:ascii="Cambria" w:eastAsia="Times New Roman" w:hAnsi="Cambria"/>
      <w:i/>
      <w:iCs/>
      <w:color w:val="4F81BD"/>
      <w:spacing w:val="15"/>
      <w:sz w:val="28"/>
      <w:szCs w:val="28"/>
    </w:rPr>
  </w:style>
  <w:style w:styleId="style71" w:type="paragraph">
    <w:name w:val="Списък на абзаци2"/>
    <w:basedOn w:val="style0"/>
    <w:next w:val="style71"/>
    <w:pPr>
      <w:ind w:hanging="0" w:left="720" w:right="0"/>
    </w:pPr>
    <w:rPr>
      <w:rFonts w:ascii="Times New Roman" w:cs="Times New Roman" w:hAnsi="Times New Roman"/>
      <w:lang w:val="en-US"/>
    </w:rPr>
  </w:style>
  <w:style w:styleId="style72" w:type="paragraph">
    <w:name w:val="Списък на абзаци3"/>
    <w:basedOn w:val="style0"/>
    <w:next w:val="style72"/>
    <w:pPr>
      <w:ind w:hanging="0" w:left="720" w:right="0"/>
    </w:pPr>
    <w:rPr>
      <w:rFonts w:ascii="Times New Roman" w:cs="Times New Roman" w:hAnsi="Times New Roman"/>
      <w:lang w:val="en-US"/>
    </w:rPr>
  </w:style>
  <w:style w:styleId="style73" w:type="paragraph">
    <w:name w:val="Съдържание - заглавие"/>
    <w:basedOn w:val="style1"/>
    <w:next w:val="style73"/>
    <w:pPr>
      <w:widowControl/>
      <w:suppressLineNumbers/>
      <w:spacing w:line="276" w:lineRule="auto"/>
      <w:ind w:hanging="0" w:left="0" w:right="0"/>
    </w:pPr>
    <w:rPr>
      <w:rFonts w:eastAsia="Calibri"/>
      <w:b/>
      <w:bCs/>
      <w:sz w:val="32"/>
      <w:szCs w:val="32"/>
      <w:lang w:eastAsia="bg-BG"/>
    </w:rPr>
  </w:style>
  <w:style w:styleId="style74" w:type="paragraph">
    <w:name w:val="Съдържание 1"/>
    <w:basedOn w:val="style0"/>
    <w:next w:val="style74"/>
    <w:pPr>
      <w:tabs>
        <w:tab w:leader="dot" w:pos="9356" w:val="right"/>
      </w:tabs>
      <w:spacing w:after="100" w:before="0"/>
      <w:ind w:hanging="0" w:left="0" w:right="849"/>
    </w:pPr>
    <w:rPr/>
  </w:style>
  <w:style w:styleId="style75" w:type="paragraph">
    <w:name w:val="Съдържание 2"/>
    <w:basedOn w:val="style0"/>
    <w:next w:val="style75"/>
    <w:pPr>
      <w:tabs>
        <w:tab w:leader="dot" w:pos="10556" w:val="right"/>
      </w:tabs>
      <w:spacing w:after="100" w:before="0"/>
      <w:ind w:hanging="0" w:left="240" w:right="849"/>
    </w:pPr>
    <w:rPr/>
  </w:style>
  <w:style w:styleId="style76" w:type="paragraph">
    <w:name w:val="Съдържание 3"/>
    <w:basedOn w:val="style0"/>
    <w:next w:val="style76"/>
    <w:pPr>
      <w:tabs>
        <w:tab w:leader="dot" w:pos="11756" w:val="right"/>
      </w:tabs>
      <w:spacing w:after="100" w:before="0"/>
      <w:ind w:hanging="0" w:left="480" w:right="849"/>
    </w:pPr>
    <w:rPr/>
  </w:style>
  <w:style w:styleId="style77" w:type="paragraph">
    <w:name w:val="Таблица вътрешно заглавие"/>
    <w:basedOn w:val="style0"/>
    <w:next w:val="style77"/>
    <w:pPr>
      <w:keepNext/>
      <w:keepLines/>
      <w:jc w:val="center"/>
    </w:pPr>
    <w:rPr>
      <w:b/>
    </w:rPr>
  </w:style>
  <w:style w:styleId="style78" w:type="paragraph">
    <w:name w:val="Таблица заглавие"/>
    <w:basedOn w:val="style0"/>
    <w:next w:val="style78"/>
    <w:pPr>
      <w:keepNext/>
      <w:keepLines/>
      <w:jc w:val="center"/>
    </w:pPr>
    <w:rPr>
      <w:b/>
    </w:rPr>
  </w:style>
  <w:style w:styleId="style79" w:type="paragraph">
    <w:name w:val="Document Map"/>
    <w:basedOn w:val="style0"/>
    <w:next w:val="style79"/>
    <w:pPr/>
    <w:rPr>
      <w:rFonts w:ascii="Tahoma" w:cs="Tahoma" w:hAnsi="Tahoma"/>
      <w:sz w:val="16"/>
      <w:szCs w:val="16"/>
    </w:rPr>
  </w:style>
  <w:style w:styleId="style80" w:type="paragraph">
    <w:name w:val="номера"/>
    <w:basedOn w:val="style0"/>
    <w:next w:val="style80"/>
    <w:pPr>
      <w:widowControl/>
      <w:ind w:hanging="0" w:left="0" w:right="0"/>
      <w:jc w:val="center"/>
    </w:pPr>
    <w:rPr/>
  </w:style>
  <w:style w:styleId="style81" w:type="paragraph">
    <w:name w:val="номер1"/>
    <w:basedOn w:val="style80"/>
    <w:next w:val="style81"/>
    <w:pPr>
      <w:ind w:hanging="0" w:left="0" w:right="0"/>
    </w:pPr>
    <w:rPr>
      <w:lang w:val="en-US"/>
    </w:rPr>
  </w:style>
  <w:style w:styleId="style82" w:type="paragraph">
    <w:name w:val="Списък на абзаци"/>
    <w:basedOn w:val="style0"/>
    <w:next w:val="style82"/>
    <w:pPr>
      <w:suppressAutoHyphens w:val="true"/>
      <w:ind w:hanging="0" w:left="720" w:right="0"/>
      <w:jc w:val="left"/>
    </w:pPr>
    <w:rPr>
      <w:rFonts w:eastAsia="Times New Roman"/>
    </w:rPr>
  </w:style>
  <w:style w:styleId="style83" w:type="paragraph">
    <w:name w:val="Основен текст с отстъп"/>
    <w:basedOn w:val="style0"/>
    <w:next w:val="style83"/>
    <w:pPr>
      <w:ind w:firstLine="720" w:left="283" w:right="0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2016-12-23T09:04:00.00Z</dcterms:created>
  <dc:creator>Общинска собственост</dc:creator>
  <cp:lastModifiedBy>Невена Касабова</cp:lastModifiedBy>
  <cp:lastPrinted>2015-11-30T14:01:00.00Z</cp:lastPrinted>
  <dcterms:modified xsi:type="dcterms:W3CDTF">2016-12-23T09:15:00.00Z</dcterms:modified>
  <cp:revision>7</cp:revision>
  <dc:title> </dc:title>
</cp:coreProperties>
</file>