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Default="00EB0CBF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АТАНАС МИХАЙЛОВ</w:t>
      </w:r>
    </w:p>
    <w:p w:rsidR="00673166" w:rsidRPr="00A94A42" w:rsidRDefault="00EB0CBF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БОЯН ЙОРДАНОВ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F0D5D">
        <w:rPr>
          <w:rFonts w:ascii="Times New Roman" w:eastAsia="Times New Roman" w:hAnsi="Times New Roman" w:cs="Times New Roman"/>
          <w:sz w:val="24"/>
          <w:szCs w:val="24"/>
        </w:rPr>
        <w:t>Еднофамилни жилищни сгра</w:t>
      </w:r>
      <w:bookmarkStart w:id="0" w:name="_GoBack"/>
      <w:bookmarkEnd w:id="0"/>
      <w:r w:rsidR="00EB0CBF">
        <w:rPr>
          <w:rFonts w:ascii="Times New Roman" w:eastAsia="Times New Roman" w:hAnsi="Times New Roman" w:cs="Times New Roman"/>
          <w:sz w:val="24"/>
          <w:szCs w:val="24"/>
        </w:rPr>
        <w:t>ди и гаражи към тях – 8 бр. нови УПИ, включващо и изграждане на сондажни кладенци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56784.258.505 и 56784.258.506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06.02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186D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2018-02-06T08:33:00Z</dcterms:created>
  <dcterms:modified xsi:type="dcterms:W3CDTF">2018-02-06T08:33:00Z</dcterms:modified>
</cp:coreProperties>
</file>