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0D3C70">
        <w:rPr>
          <w:rFonts w:ascii="Times New Roman" w:eastAsia="Times New Roman" w:hAnsi="Times New Roman" w:cs="Times New Roman"/>
          <w:sz w:val="24"/>
          <w:szCs w:val="24"/>
        </w:rPr>
        <w:t>Еднофамилни жилищни сгради и гаражи към тях – 8 бр. нови УПИ“ в ПИ 56784.258.505 и 56784.258.506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работен ден в периода от </w:t>
      </w:r>
      <w:r w:rsidR="000D3C70">
        <w:rPr>
          <w:rFonts w:ascii="Times New Roman" w:eastAsia="Times New Roman" w:hAnsi="Times New Roman" w:cs="Times New Roman"/>
          <w:b/>
          <w:sz w:val="24"/>
          <w:szCs w:val="24"/>
        </w:rPr>
        <w:t>31.08.2018г. – 15.09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D3C70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7AB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2018-09-10T07:50:00Z</dcterms:created>
  <dcterms:modified xsi:type="dcterms:W3CDTF">2018-09-10T07:50:00Z</dcterms:modified>
</cp:coreProperties>
</file>