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C4" w:rsidRDefault="00D974C4" w:rsidP="004B1064">
      <w:pPr>
        <w:rPr>
          <w:rFonts w:ascii="Arial" w:hAnsi="Arial"/>
          <w:sz w:val="28"/>
        </w:rPr>
      </w:pPr>
    </w:p>
    <w:p w:rsidR="003F4F06" w:rsidRPr="003F4F06" w:rsidRDefault="00D974C4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67627138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D974C4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D974C4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01</w:t>
      </w:r>
      <w:r w:rsidR="00D974C4">
        <w:rPr>
          <w:sz w:val="32"/>
          <w:szCs w:val="32"/>
        </w:rPr>
        <w:t>5</w:t>
      </w:r>
      <w:r w:rsidR="0036182E">
        <w:rPr>
          <w:sz w:val="32"/>
          <w:szCs w:val="32"/>
        </w:rPr>
        <w:t xml:space="preserve"> </w:t>
      </w:r>
      <w:r w:rsidR="00BC1565">
        <w:rPr>
          <w:sz w:val="32"/>
          <w:szCs w:val="32"/>
        </w:rPr>
        <w:t>/</w:t>
      </w:r>
      <w:r w:rsidR="0036182E">
        <w:rPr>
          <w:sz w:val="32"/>
          <w:szCs w:val="32"/>
        </w:rPr>
        <w:t xml:space="preserve"> </w:t>
      </w:r>
      <w:r w:rsidR="00D974C4">
        <w:rPr>
          <w:sz w:val="32"/>
          <w:szCs w:val="32"/>
        </w:rPr>
        <w:t>23.07</w:t>
      </w:r>
      <w:r w:rsidR="004C02B8">
        <w:rPr>
          <w:sz w:val="32"/>
          <w:szCs w:val="32"/>
        </w:rPr>
        <w:t>.2014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562B44">
      <w:pPr>
        <w:pStyle w:val="a9"/>
        <w:tabs>
          <w:tab w:val="left" w:pos="0"/>
        </w:tabs>
        <w:ind w:left="-142" w:firstLine="142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562B44">
        <w:rPr>
          <w:sz w:val="24"/>
          <w:szCs w:val="24"/>
        </w:rPr>
        <w:t>ОБ-</w:t>
      </w:r>
      <w:r w:rsidR="0000614E">
        <w:rPr>
          <w:sz w:val="24"/>
          <w:szCs w:val="24"/>
          <w:lang w:val="en-US"/>
        </w:rPr>
        <w:t>000</w:t>
      </w:r>
      <w:r w:rsidR="004C02B8">
        <w:rPr>
          <w:sz w:val="24"/>
          <w:szCs w:val="24"/>
        </w:rPr>
        <w:t>0</w:t>
      </w:r>
      <w:r w:rsidR="00422831">
        <w:rPr>
          <w:sz w:val="24"/>
          <w:szCs w:val="24"/>
        </w:rPr>
        <w:t>19</w:t>
      </w:r>
      <w:r w:rsidR="004C02B8">
        <w:rPr>
          <w:sz w:val="24"/>
          <w:szCs w:val="24"/>
        </w:rPr>
        <w:t>-6</w:t>
      </w:r>
      <w:r w:rsidR="0000614E">
        <w:rPr>
          <w:sz w:val="24"/>
          <w:szCs w:val="24"/>
          <w:lang w:val="en-US"/>
        </w:rPr>
        <w:t xml:space="preserve"> / </w:t>
      </w:r>
      <w:r w:rsidR="00422831">
        <w:rPr>
          <w:sz w:val="24"/>
          <w:szCs w:val="24"/>
        </w:rPr>
        <w:t>06</w:t>
      </w:r>
      <w:r w:rsidR="004C02B8">
        <w:rPr>
          <w:sz w:val="24"/>
          <w:szCs w:val="24"/>
        </w:rPr>
        <w:t>.11</w:t>
      </w:r>
      <w:r w:rsidR="0000614E">
        <w:rPr>
          <w:sz w:val="24"/>
          <w:szCs w:val="24"/>
        </w:rPr>
        <w:t>.</w:t>
      </w:r>
      <w:r w:rsidR="0000614E">
        <w:rPr>
          <w:sz w:val="24"/>
          <w:szCs w:val="24"/>
          <w:lang w:val="en-US"/>
        </w:rPr>
        <w:t>2008</w:t>
      </w:r>
      <w:r w:rsidRPr="00C82B75">
        <w:rPr>
          <w:sz w:val="24"/>
          <w:szCs w:val="24"/>
        </w:rPr>
        <w:t xml:space="preserve"> г. за ползване на </w:t>
      </w:r>
      <w:r w:rsidR="004C02B8">
        <w:rPr>
          <w:sz w:val="24"/>
          <w:szCs w:val="24"/>
        </w:rPr>
        <w:t>терен</w:t>
      </w:r>
      <w:r w:rsidRPr="00C82B75">
        <w:rPr>
          <w:sz w:val="24"/>
          <w:szCs w:val="24"/>
        </w:rPr>
        <w:t xml:space="preserve"> общинска собственост за </w:t>
      </w:r>
      <w:r w:rsidR="00562B44">
        <w:rPr>
          <w:sz w:val="24"/>
          <w:szCs w:val="24"/>
        </w:rPr>
        <w:t>търговска дейност</w:t>
      </w:r>
      <w:r w:rsidR="0036182E">
        <w:rPr>
          <w:sz w:val="24"/>
          <w:szCs w:val="24"/>
        </w:rPr>
        <w:t xml:space="preserve"> съгласно</w:t>
      </w:r>
      <w:r w:rsidRPr="00C82B75">
        <w:rPr>
          <w:sz w:val="24"/>
          <w:szCs w:val="24"/>
        </w:rPr>
        <w:t xml:space="preserve"> Раздел ІІ от ЗМДТ</w:t>
      </w:r>
      <w:r w:rsidR="0036182E">
        <w:rPr>
          <w:sz w:val="24"/>
          <w:szCs w:val="24"/>
        </w:rPr>
        <w:t xml:space="preserve"> </w:t>
      </w:r>
      <w:r w:rsidR="00562B44">
        <w:rPr>
          <w:sz w:val="24"/>
          <w:szCs w:val="24"/>
        </w:rPr>
        <w:t xml:space="preserve">, чрез поставяне на </w:t>
      </w:r>
      <w:proofErr w:type="spellStart"/>
      <w:r w:rsidR="00562B44">
        <w:rPr>
          <w:sz w:val="24"/>
          <w:szCs w:val="24"/>
        </w:rPr>
        <w:t>преместваемо</w:t>
      </w:r>
      <w:proofErr w:type="spellEnd"/>
      <w:r w:rsidR="00562B44">
        <w:rPr>
          <w:sz w:val="24"/>
          <w:szCs w:val="24"/>
        </w:rPr>
        <w:t xml:space="preserve"> съоръжение за търговия по чл. 56 от ЗУТ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96113C" w:rsidRPr="005E5875" w:rsidRDefault="0096113C" w:rsidP="0096113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555/04.03.2013г. на Кмета на Община Пловдив,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 w:rsidR="00422831">
        <w:t>6866</w:t>
      </w:r>
      <w:r>
        <w:t>/</w:t>
      </w:r>
      <w:r w:rsidR="00422831">
        <w:t>22.07</w:t>
      </w:r>
      <w:r>
        <w:t>.2014г., относно установяване на</w:t>
      </w:r>
      <w:r w:rsidRPr="005E5875">
        <w:t xml:space="preserve"> </w:t>
      </w:r>
      <w:r w:rsidR="00422831">
        <w:t xml:space="preserve">факти и обстоятелства от значение за установяване на задължение по чл. 72 от </w:t>
      </w:r>
      <w:r w:rsidR="00422831">
        <w:t>Закона за местните данъци и такси /ЗМДТ</w:t>
      </w:r>
      <w:r w:rsidR="00422831">
        <w:t xml:space="preserve">/, </w:t>
      </w:r>
      <w:proofErr w:type="spellStart"/>
      <w:r w:rsidR="00422831">
        <w:t>относимо</w:t>
      </w:r>
      <w:proofErr w:type="spellEnd"/>
      <w:r>
        <w:t xml:space="preserve"> по Разрешение №ОБ-0000</w:t>
      </w:r>
      <w:r w:rsidR="00422831">
        <w:t>19</w:t>
      </w:r>
      <w:r>
        <w:t xml:space="preserve">-6 / </w:t>
      </w:r>
      <w:r w:rsidR="00422831">
        <w:t>06</w:t>
      </w:r>
      <w:r>
        <w:t xml:space="preserve">.11.2008г. за ползване на терен общинска собственост за търговска дейност, съгласно Раздел ІІ от </w:t>
      </w:r>
      <w:r w:rsidR="00422831">
        <w:t>ЗМДТ</w:t>
      </w:r>
      <w:r>
        <w:t xml:space="preserve">, чрез поставяне на </w:t>
      </w:r>
      <w:proofErr w:type="spellStart"/>
      <w:r>
        <w:t>преместваем</w:t>
      </w:r>
      <w:r w:rsidR="00422831">
        <w:t>о</w:t>
      </w:r>
      <w:proofErr w:type="spellEnd"/>
      <w:r>
        <w:t xml:space="preserve"> </w:t>
      </w:r>
      <w:r w:rsidR="00422831">
        <w:t>съоръжение</w:t>
      </w:r>
      <w:r>
        <w:t xml:space="preserve"> за търговия по чл.56 от Закона за устройство на територията /ЗУТ/, издадено </w:t>
      </w:r>
      <w:r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36182E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b/>
        </w:rPr>
      </w:pPr>
      <w:r>
        <w:rPr>
          <w:b/>
        </w:rPr>
        <w:t>ЕТ „</w:t>
      </w:r>
      <w:r w:rsidR="00422831">
        <w:rPr>
          <w:b/>
        </w:rPr>
        <w:t>ЗДРАВКО АРМЕНКОВ</w:t>
      </w:r>
      <w:r>
        <w:rPr>
          <w:b/>
        </w:rPr>
        <w:t>”</w:t>
      </w:r>
      <w:r w:rsidR="0036182E">
        <w:rPr>
          <w:b/>
        </w:rPr>
        <w:t xml:space="preserve">, </w:t>
      </w:r>
      <w:r w:rsidR="0096113C">
        <w:rPr>
          <w:b/>
        </w:rPr>
        <w:t>представлявано</w:t>
      </w:r>
      <w:r w:rsidR="0036182E">
        <w:rPr>
          <w:b/>
        </w:rPr>
        <w:t xml:space="preserve"> от </w:t>
      </w:r>
      <w:r>
        <w:rPr>
          <w:b/>
        </w:rPr>
        <w:t xml:space="preserve">собственика </w:t>
      </w:r>
      <w:r w:rsidR="00422831">
        <w:rPr>
          <w:b/>
        </w:rPr>
        <w:t xml:space="preserve">Здравко Ангелов </w:t>
      </w:r>
      <w:proofErr w:type="spellStart"/>
      <w:r w:rsidR="00422831">
        <w:rPr>
          <w:b/>
        </w:rPr>
        <w:t>Арменков</w:t>
      </w:r>
      <w:proofErr w:type="spellEnd"/>
    </w:p>
    <w:p w:rsidR="00562B44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9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9" w:type="dxa"/>
            <w:vAlign w:val="center"/>
          </w:tcPr>
          <w:p w:rsidR="005045E4" w:rsidRPr="005E5875" w:rsidRDefault="00422831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5045E4" w:rsidRPr="005E5875" w:rsidRDefault="00422831" w:rsidP="007351F7">
            <w:pPr>
              <w:pStyle w:val="a3"/>
              <w:jc w:val="both"/>
            </w:pPr>
            <w:r>
              <w:t>6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3C" w:rsidRPr="009734B4" w:rsidRDefault="0065417B" w:rsidP="0096113C">
            <w:pPr>
              <w:pStyle w:val="a3"/>
              <w:tabs>
                <w:tab w:val="clear" w:pos="9072"/>
                <w:tab w:val="left" w:pos="2600"/>
                <w:tab w:val="right" w:pos="10206"/>
              </w:tabs>
              <w:jc w:val="both"/>
            </w:pPr>
            <w:r>
              <w:t xml:space="preserve"> </w:t>
            </w:r>
            <w:r w:rsidR="0096113C">
              <w:rPr>
                <w:szCs w:val="24"/>
              </w:rPr>
              <w:t>Със седалище и адрес на управление</w:t>
            </w:r>
            <w:r w:rsidR="0096113C" w:rsidRPr="004665AB">
              <w:rPr>
                <w:szCs w:val="24"/>
              </w:rPr>
              <w:t xml:space="preserve">:  гр. Пловдив, </w:t>
            </w:r>
            <w:r w:rsidR="0096113C">
              <w:rPr>
                <w:szCs w:val="24"/>
              </w:rPr>
              <w:t>район „</w:t>
            </w:r>
            <w:r w:rsidR="00422831">
              <w:rPr>
                <w:szCs w:val="24"/>
              </w:rPr>
              <w:t>Северен</w:t>
            </w:r>
            <w:r w:rsidR="0096113C">
              <w:rPr>
                <w:szCs w:val="24"/>
              </w:rPr>
              <w:t>”</w:t>
            </w:r>
            <w:r w:rsidR="0096113C" w:rsidRPr="004665AB">
              <w:rPr>
                <w:szCs w:val="24"/>
              </w:rPr>
              <w:t xml:space="preserve">, </w:t>
            </w:r>
            <w:r w:rsidR="00422831">
              <w:rPr>
                <w:szCs w:val="24"/>
              </w:rPr>
              <w:t>б</w:t>
            </w:r>
            <w:r w:rsidR="0096113C" w:rsidRPr="004665AB">
              <w:t>ул. „</w:t>
            </w:r>
            <w:r w:rsidR="00422831">
              <w:t>България</w:t>
            </w:r>
            <w:r w:rsidR="0096113C">
              <w:t>“ №</w:t>
            </w:r>
            <w:r w:rsidR="00422831">
              <w:t>82, ет.4, ап.43</w:t>
            </w:r>
            <w:r w:rsidR="0096113C">
              <w:t xml:space="preserve">, пререгистриран по Закона за търговски регистър на </w:t>
            </w:r>
            <w:r w:rsidR="00422831">
              <w:t>12</w:t>
            </w:r>
            <w:r w:rsidR="0096113C">
              <w:t>.0</w:t>
            </w:r>
            <w:r w:rsidR="00422831">
              <w:t>2</w:t>
            </w:r>
            <w:r w:rsidR="0096113C">
              <w:t xml:space="preserve">.2011г., състояние – развиващ дейност към </w:t>
            </w:r>
            <w:r w:rsidR="00422831">
              <w:t>23.07</w:t>
            </w:r>
            <w:r w:rsidR="0096113C">
              <w:t xml:space="preserve">.2014г. </w:t>
            </w:r>
            <w:r w:rsidR="0096113C">
              <w:rPr>
                <w:lang w:val="en-US"/>
              </w:rPr>
              <w:t>(</w:t>
            </w:r>
            <w:proofErr w:type="gramStart"/>
            <w:r w:rsidR="0096113C">
              <w:t>датата</w:t>
            </w:r>
            <w:proofErr w:type="gramEnd"/>
            <w:r w:rsidR="0096113C">
              <w:t xml:space="preserve"> на съставяне на настоящия акт</w:t>
            </w:r>
            <w:r w:rsidR="0096113C">
              <w:rPr>
                <w:lang w:val="en-US"/>
              </w:rPr>
              <w:t>)</w:t>
            </w:r>
            <w:r w:rsidR="0096113C">
              <w:t>.</w:t>
            </w:r>
          </w:p>
          <w:p w:rsidR="00702D8F" w:rsidRPr="005E5875" w:rsidRDefault="00702D8F" w:rsidP="0000614E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82E" w:rsidRDefault="0036182E" w:rsidP="0043252D">
            <w:pPr>
              <w:pStyle w:val="a3"/>
              <w:jc w:val="both"/>
            </w:pPr>
          </w:p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96113C" w:rsidRDefault="0096113C" w:rsidP="0096113C">
      <w:pPr>
        <w:pStyle w:val="a3"/>
        <w:jc w:val="both"/>
      </w:pPr>
      <w:r w:rsidRPr="005E5875">
        <w:tab/>
      </w:r>
      <w:r>
        <w:t xml:space="preserve">         </w:t>
      </w:r>
      <w:r w:rsidRPr="005E5875">
        <w:t xml:space="preserve">След извършена  проверка </w:t>
      </w:r>
      <w:r>
        <w:t>с</w:t>
      </w:r>
      <w:r w:rsidRPr="005E5875">
        <w:t xml:space="preserve"> </w:t>
      </w:r>
      <w:r>
        <w:t>период на обхват</w:t>
      </w:r>
      <w:r w:rsidRPr="00155A34">
        <w:t xml:space="preserve"> от 01.</w:t>
      </w:r>
      <w:r w:rsidR="00422831">
        <w:t>02.2009г.</w:t>
      </w:r>
      <w:r w:rsidRPr="00155A34">
        <w:t xml:space="preserve"> до </w:t>
      </w:r>
      <w:r w:rsidR="00422831">
        <w:t>22.07</w:t>
      </w:r>
      <w:r w:rsidRPr="00155A34">
        <w:t>.</w:t>
      </w:r>
      <w:r>
        <w:rPr>
          <w:lang w:val="en-US"/>
        </w:rPr>
        <w:t>201</w:t>
      </w:r>
      <w:r w:rsidRPr="00155A34">
        <w:t>4г.</w:t>
      </w:r>
      <w:r>
        <w:t xml:space="preserve"> </w:t>
      </w:r>
      <w:proofErr w:type="gramStart"/>
      <w:r w:rsidRPr="005E5875">
        <w:t xml:space="preserve">за установяване на </w:t>
      </w:r>
      <w:r>
        <w:t>факти и обстоятелства от значение за установяване на задължения</w:t>
      </w:r>
      <w:r w:rsidRPr="005E5875">
        <w:t xml:space="preserve"> </w:t>
      </w:r>
      <w:r>
        <w:t>по чл.</w:t>
      </w:r>
      <w:proofErr w:type="gramEnd"/>
      <w:r>
        <w:t xml:space="preserve"> 72 от ЗМДТ -</w:t>
      </w:r>
      <w:r w:rsidRPr="005E5875">
        <w:t xml:space="preserve"> </w:t>
      </w:r>
      <w:r>
        <w:t xml:space="preserve">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>
        <w:t>относими</w:t>
      </w:r>
      <w:proofErr w:type="spellEnd"/>
      <w:r>
        <w:t xml:space="preserve"> по </w:t>
      </w:r>
      <w:r w:rsidRPr="003078AC">
        <w:t>Разрешение</w:t>
      </w:r>
      <w:r>
        <w:t xml:space="preserve"> № ОБ-0000</w:t>
      </w:r>
      <w:r w:rsidR="00422831">
        <w:t>19</w:t>
      </w:r>
      <w:r>
        <w:t xml:space="preserve">-6 / </w:t>
      </w:r>
      <w:r w:rsidR="00422831">
        <w:t>06</w:t>
      </w:r>
      <w:r>
        <w:t xml:space="preserve">.11.2008 г. за ползване на терен общинска собственост за търговска дейност съгласно Раздел ІІ от ЗМДТ, чрез поставяне на </w:t>
      </w:r>
      <w:proofErr w:type="spellStart"/>
      <w:r>
        <w:t>преместваем</w:t>
      </w:r>
      <w:r w:rsidR="00422831">
        <w:t>о</w:t>
      </w:r>
      <w:proofErr w:type="spellEnd"/>
      <w:r>
        <w:t xml:space="preserve"> </w:t>
      </w:r>
      <w:r w:rsidR="00422831">
        <w:t>съоръжение</w:t>
      </w:r>
      <w:r>
        <w:t xml:space="preserve"> за търговия – статив за </w:t>
      </w:r>
      <w:r w:rsidR="00422831">
        <w:t>бижутерия</w:t>
      </w:r>
      <w:r>
        <w:t xml:space="preserve">, същите </w:t>
      </w:r>
      <w:proofErr w:type="spellStart"/>
      <w:r>
        <w:t>обективирани</w:t>
      </w:r>
      <w:proofErr w:type="spellEnd"/>
      <w:r>
        <w:t xml:space="preserve"> в Протокол № </w:t>
      </w:r>
      <w:r>
        <w:rPr>
          <w:lang w:val="en-US"/>
        </w:rPr>
        <w:t>Z</w:t>
      </w:r>
      <w:r>
        <w:t xml:space="preserve">1 – </w:t>
      </w:r>
      <w:r w:rsidR="00422831">
        <w:t>6866</w:t>
      </w:r>
      <w:r>
        <w:t xml:space="preserve"> / </w:t>
      </w:r>
      <w:r w:rsidR="00422831">
        <w:t>22.07</w:t>
      </w:r>
      <w:r>
        <w:t xml:space="preserve">.2014 г. </w:t>
      </w:r>
      <w:r w:rsidRPr="005E5875">
        <w:t xml:space="preserve">и </w:t>
      </w:r>
      <w:r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422831" w:rsidRPr="007351F7" w:rsidRDefault="00422831" w:rsidP="00C27DA9">
      <w:pPr>
        <w:pStyle w:val="a3"/>
        <w:jc w:val="center"/>
        <w:rPr>
          <w:b/>
        </w:rPr>
      </w:pPr>
    </w:p>
    <w:p w:rsidR="004B0B47" w:rsidRDefault="0076544B" w:rsidP="0076544B">
      <w:pPr>
        <w:pStyle w:val="a3"/>
        <w:jc w:val="both"/>
      </w:pPr>
      <w:r>
        <w:t xml:space="preserve">         Н</w:t>
      </w:r>
      <w:r>
        <w:t xml:space="preserve">а 30.10.2008 г. г-н Здравко Ангелов </w:t>
      </w:r>
      <w:proofErr w:type="spellStart"/>
      <w:r>
        <w:t>Арменков</w:t>
      </w:r>
      <w:proofErr w:type="spellEnd"/>
      <w:r>
        <w:t xml:space="preserve">, действащ в качеството си на едноличен търговец ЕТ „Здравко </w:t>
      </w:r>
      <w:proofErr w:type="spellStart"/>
      <w:r>
        <w:t>Арменков</w:t>
      </w:r>
      <w:proofErr w:type="spellEnd"/>
      <w:r>
        <w:t xml:space="preserve">” с Булстат /към онзи момент/ 115686556 е подал в Район </w:t>
      </w:r>
    </w:p>
    <w:p w:rsidR="004B0B47" w:rsidRDefault="004B0B47" w:rsidP="0076544B">
      <w:pPr>
        <w:pStyle w:val="a3"/>
        <w:jc w:val="both"/>
      </w:pPr>
    </w:p>
    <w:p w:rsidR="0076544B" w:rsidRDefault="0076544B" w:rsidP="0076544B">
      <w:pPr>
        <w:pStyle w:val="a3"/>
        <w:jc w:val="both"/>
      </w:pPr>
      <w:r>
        <w:t>„Централен“ при Община Пловдив молба с вх. № 94006-18808 / 30.10.2008 г. за подновяване на Разрешение № ОБ-000019-6/01.07.2008 г. за ползване на терен общинска собственост с площ от 3,00 кв.м, намиращ се в гр. Пловдив, пл. „</w:t>
      </w:r>
      <w:proofErr w:type="spellStart"/>
      <w:r>
        <w:t>Джумая</w:t>
      </w:r>
      <w:proofErr w:type="spellEnd"/>
      <w:r>
        <w:t xml:space="preserve">” (старо име), за място № 54 по одобрена схема за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търговия, съгласно Заповед № ОА-428/24.03.2003г. на Кмета на Община Пловдив – статив за търговия с бижутерия, респективно за издаване на ново разрешение за ползване на имота общинска собственост за търговска дейност. </w:t>
      </w:r>
    </w:p>
    <w:p w:rsidR="0076544B" w:rsidRDefault="0000614E" w:rsidP="0076544B">
      <w:pPr>
        <w:pStyle w:val="a3"/>
        <w:jc w:val="both"/>
      </w:pPr>
      <w:r>
        <w:t xml:space="preserve">       </w:t>
      </w:r>
      <w:r w:rsidR="0076544B">
        <w:t xml:space="preserve">По повод така подадената  молба и при спазване на изискванията на </w:t>
      </w:r>
      <w:r w:rsidR="0076544B" w:rsidRPr="00905BEF">
        <w:t xml:space="preserve">Наредба за реда и условията за поставяне на </w:t>
      </w:r>
      <w:proofErr w:type="spellStart"/>
      <w:r w:rsidR="0076544B" w:rsidRPr="00905BEF">
        <w:t>преместваеми</w:t>
      </w:r>
      <w:proofErr w:type="spellEnd"/>
      <w:r w:rsidR="0076544B" w:rsidRPr="00905BEF">
        <w:t xml:space="preserve"> съоръжения за търговска дей</w:t>
      </w:r>
      <w:r w:rsidR="0076544B">
        <w:t xml:space="preserve">ност на територията на Община </w:t>
      </w:r>
      <w:r w:rsidR="0076544B" w:rsidRPr="00905BEF">
        <w:t>Пловдив /НРУППСТДТОП</w:t>
      </w:r>
      <w:r w:rsidR="0076544B">
        <w:t xml:space="preserve"> /отм./ на ЕТ „Здравко </w:t>
      </w:r>
      <w:proofErr w:type="spellStart"/>
      <w:r w:rsidR="0076544B">
        <w:t>Арменков</w:t>
      </w:r>
      <w:proofErr w:type="spellEnd"/>
      <w:r w:rsidR="0076544B">
        <w:t xml:space="preserve">” с Булстат 115686556 от Кмета на Район „Централен“ при Община Пловдив е издадено Разрешение № ОБ-000019-6/06.11.2008г. за ползване на терен общинска собственост. С упоменатото разрешение се разрешава на ЕТ „Здравко </w:t>
      </w:r>
      <w:proofErr w:type="spellStart"/>
      <w:r w:rsidR="0076544B">
        <w:t>Арменков</w:t>
      </w:r>
      <w:proofErr w:type="spellEnd"/>
      <w:r w:rsidR="0076544B">
        <w:t>“ да ползва терен общинска собственост с площ от 3,00 кв.м., намиращ се в гр. Пловдив, пл. „</w:t>
      </w:r>
      <w:proofErr w:type="spellStart"/>
      <w:r w:rsidR="0076544B">
        <w:t>Джумая</w:t>
      </w:r>
      <w:proofErr w:type="spellEnd"/>
      <w:r w:rsidR="0076544B">
        <w:t xml:space="preserve">”, представляващо място № 54 по одобрена схема, за търговска дейност, чрез поставяне на мобилно </w:t>
      </w:r>
      <w:proofErr w:type="spellStart"/>
      <w:r w:rsidR="0076544B">
        <w:t>преместваемо</w:t>
      </w:r>
      <w:proofErr w:type="spellEnd"/>
      <w:r w:rsidR="0076544B">
        <w:t xml:space="preserve"> съоръжение за търговия с бижутерия. Ползвателят е запознат с условията за ползване на общинския имот, изложени в Разрешение № ОБ-000019-6/ 06.11.2008г., </w:t>
      </w:r>
      <w:r w:rsidR="0076544B">
        <w:rPr>
          <w:szCs w:val="24"/>
        </w:rPr>
        <w:t>респективно със задълженията, които произтичат от него</w:t>
      </w:r>
      <w:r w:rsidR="0076544B">
        <w:t xml:space="preserve"> и ги приема, което обстоятелство същият е </w:t>
      </w:r>
      <w:proofErr w:type="spellStart"/>
      <w:r w:rsidR="0076544B">
        <w:t>обективирал</w:t>
      </w:r>
      <w:proofErr w:type="spellEnd"/>
      <w:r w:rsidR="0076544B">
        <w:t xml:space="preserve"> чрез подписа си върху документа. Разрешение № ОБ-000019-6/06.11.2008г. за ползване на терен общинска собственост е със срок на действие от 01.10.2008 г. до 30.09.2009 г. Документът е въведен в регистър Разрешения терен за търговия на финансово-счетоводната програма „Отчитане на приходите от стопанска дейност на район „Централен“</w:t>
      </w:r>
      <w:r w:rsidR="009814B1">
        <w:t xml:space="preserve"> </w:t>
      </w:r>
      <w:r w:rsidR="0076544B">
        <w:t xml:space="preserve">при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терена общинска собственост за търговска дейност, чрез поставеното мобилно </w:t>
      </w:r>
      <w:proofErr w:type="spellStart"/>
      <w:r w:rsidR="0076544B">
        <w:t>преместваемо</w:t>
      </w:r>
      <w:proofErr w:type="spellEnd"/>
      <w:r w:rsidR="0076544B">
        <w:t xml:space="preserve"> съоръжение за търговия – статив за бижутерия.  </w:t>
      </w:r>
    </w:p>
    <w:p w:rsidR="0076544B" w:rsidRDefault="00A76888" w:rsidP="0076544B">
      <w:pPr>
        <w:pStyle w:val="a3"/>
        <w:jc w:val="both"/>
      </w:pPr>
      <w:r>
        <w:t xml:space="preserve">        </w:t>
      </w:r>
      <w:r w:rsidR="0076544B">
        <w:t>Размерът на месечната такса – 37,50 лв. (тридесет и седем лева и петдесет стотинки), която ЕТ „</w:t>
      </w:r>
      <w:r w:rsidR="0076544B">
        <w:t xml:space="preserve">Здравко </w:t>
      </w:r>
      <w:proofErr w:type="spellStart"/>
      <w:r w:rsidR="0076544B">
        <w:t>Арменков</w:t>
      </w:r>
      <w:proofErr w:type="spellEnd"/>
      <w:r w:rsidR="0076544B">
        <w:t xml:space="preserve">“ с ЕИК </w:t>
      </w:r>
      <w:r w:rsidR="0076544B">
        <w:t>115686556</w:t>
      </w:r>
      <w:r w:rsidR="0076544B">
        <w:t xml:space="preserve"> като ползвател на общинския терен следва да заплаща </w:t>
      </w:r>
      <w:r w:rsidR="0076544B" w:rsidRPr="001D496A">
        <w:rPr>
          <w:i/>
        </w:rPr>
        <w:t>ежемесечно до 20-то число на текущият месец</w:t>
      </w:r>
      <w:r w:rsidR="0076544B">
        <w:rPr>
          <w:i/>
        </w:rPr>
        <w:t>,</w:t>
      </w:r>
      <w:r w:rsidR="0076544B">
        <w:t xml:space="preserve"> </w:t>
      </w:r>
      <w:r w:rsidR="0076544B">
        <w:t xml:space="preserve">е определен съгласно Приложение №2, т.3, буква а/ към Наредба за определянето и администрирането на местните такси и цени на услуги на територията на Община Пловдив, в редакцията й, приета с Решение № 128, взето с Протокол № 10 от 22.05.2008г., в сила от 01.07.2008г. </w:t>
      </w:r>
      <w:proofErr w:type="gramStart"/>
      <w:r w:rsidR="0076544B">
        <w:rPr>
          <w:lang w:val="en-US"/>
        </w:rPr>
        <w:t>(</w:t>
      </w:r>
      <w:r w:rsidR="0076544B">
        <w:t>отм.</w:t>
      </w:r>
      <w:r w:rsidR="0076544B">
        <w:rPr>
          <w:lang w:val="en-US"/>
        </w:rPr>
        <w:t>)</w:t>
      </w:r>
      <w:r w:rsidR="0076544B">
        <w:t xml:space="preserve">, като е </w:t>
      </w:r>
      <w:r w:rsidR="0076544B">
        <w:t>отчетено</w:t>
      </w:r>
      <w:r w:rsidR="0076544B">
        <w:t xml:space="preserve"> и приложеното към заявлението Експертно решение № 0989/23.03.2004г.</w:t>
      </w:r>
      <w:proofErr w:type="gramEnd"/>
      <w:r w:rsidR="0076544B">
        <w:t xml:space="preserve"> на МБАЛ-Пловдив АД за пожизнено намалена работоспособност 72</w:t>
      </w:r>
      <w:r w:rsidR="0076544B">
        <w:rPr>
          <w:lang w:val="en-US"/>
        </w:rPr>
        <w:t>%</w:t>
      </w:r>
      <w:r w:rsidR="0076544B">
        <w:t xml:space="preserve"> . </w:t>
      </w:r>
    </w:p>
    <w:p w:rsidR="0076544B" w:rsidRPr="00597A2A" w:rsidRDefault="00A76888" w:rsidP="0076544B">
      <w:pPr>
        <w:pStyle w:val="a3"/>
        <w:jc w:val="both"/>
        <w:rPr>
          <w:b/>
          <w:i/>
        </w:rPr>
      </w:pPr>
      <w:r>
        <w:t xml:space="preserve">      </w:t>
      </w:r>
      <w:r w:rsidR="0076544B">
        <w:t xml:space="preserve">    По-късно, в изпълнение на Заповед № 09ОА-86/21.01.2009г. на Кмета на Община Пловдив, в срок до 31.01.2009</w:t>
      </w:r>
      <w:r w:rsidR="009814B1">
        <w:t xml:space="preserve"> </w:t>
      </w:r>
      <w:r w:rsidR="0076544B">
        <w:t>г. включително, Кметът на район „Централен“</w:t>
      </w:r>
      <w:r w:rsidR="0076544B" w:rsidRPr="00060EFB">
        <w:t xml:space="preserve"> </w:t>
      </w:r>
      <w:r w:rsidR="0076544B">
        <w:t xml:space="preserve">е </w:t>
      </w:r>
      <w:r w:rsidR="009814B1">
        <w:t>предал</w:t>
      </w:r>
      <w:r w:rsidR="0076544B">
        <w:t xml:space="preserve"> на дирекция „Стопански дейности и търговски дружества“ към Община Пловдив /по структура на Община Пловдив към онзи момент/ всички издадени и действащи разрешителни за търговия от </w:t>
      </w:r>
      <w:proofErr w:type="spellStart"/>
      <w:r w:rsidR="0076544B">
        <w:t>преместваеми</w:t>
      </w:r>
      <w:proofErr w:type="spellEnd"/>
      <w:r w:rsidR="0076544B">
        <w:t xml:space="preserve"> съоръжения</w:t>
      </w:r>
      <w:r w:rsidR="0076544B">
        <w:t>, разположени в Централна търговска част</w:t>
      </w:r>
      <w:r w:rsidR="0076544B">
        <w:t xml:space="preserve">. Въпросното Разрешение № ОБ-000019-6/06.11.2008 г. е прехвърлено в регистър – Разрешения терен за търговия във финансово-счетоводната програма на Община Пловдив. Считано 01.02.2009г. администрирането на таксите по документа се осъществява от дирекция „Стопански дейности и търговски дружества“ към Община Пловдив. </w:t>
      </w:r>
      <w:r w:rsidR="009814B1">
        <w:t xml:space="preserve">С оглед на това,  </w:t>
      </w:r>
      <w:r w:rsidR="00597A2A">
        <w:t xml:space="preserve">с </w:t>
      </w:r>
      <w:r w:rsidR="009814B1">
        <w:t xml:space="preserve">настоящия акт </w:t>
      </w:r>
      <w:r w:rsidR="00597A2A">
        <w:t xml:space="preserve">се </w:t>
      </w:r>
      <w:r w:rsidR="009814B1">
        <w:t xml:space="preserve">установява </w:t>
      </w:r>
      <w:r w:rsidR="00597A2A">
        <w:t xml:space="preserve">по основание и размер публично общинско вземане само за разглеждан </w:t>
      </w:r>
      <w:r w:rsidR="009814B1">
        <w:t>период</w:t>
      </w:r>
      <w:r w:rsidR="00597A2A">
        <w:t>а</w:t>
      </w:r>
      <w:r w:rsidR="009814B1">
        <w:t xml:space="preserve"> </w:t>
      </w:r>
      <w:r w:rsidR="009814B1" w:rsidRPr="00597A2A">
        <w:rPr>
          <w:b/>
          <w:i/>
        </w:rPr>
        <w:t>от 01.02.2009 г. до 22.07.2014 г.</w:t>
      </w:r>
    </w:p>
    <w:p w:rsidR="00993046" w:rsidRDefault="00993046" w:rsidP="00993046">
      <w:pPr>
        <w:pStyle w:val="a3"/>
        <w:jc w:val="both"/>
      </w:pPr>
    </w:p>
    <w:p w:rsidR="00BA2E25" w:rsidRDefault="00BA2E25" w:rsidP="00BA2E25">
      <w:pPr>
        <w:pStyle w:val="a3"/>
        <w:jc w:val="both"/>
      </w:pPr>
      <w:r>
        <w:t xml:space="preserve">          </w:t>
      </w:r>
      <w:r>
        <w:t xml:space="preserve">С Решение № 6 взето с Протокол № 1 от 22.01.2009г. Общински съвет – Пловдив е приел Наредба за изменение и допълнение на Наредба за определянето и администрирането на местните такси и цени на услуги на територията на Община Пловдив, като с приетия текст на т. 15 към </w:t>
      </w:r>
      <w:r>
        <w:rPr>
          <w:lang w:val="en-US"/>
        </w:rPr>
        <w:t>I</w:t>
      </w:r>
      <w:r>
        <w:t xml:space="preserve">.  на решението се отменя Приложение № 2 и се приема ново Приложение № 2. Решението е влязло в сила от 01.02.2009г. Според посоченото ново Приложение № 2, съобразно т.3, буква а/ началният размер на месечната такса за зона Централна градска част е определен в размер на 25,00лв./кв.м. на месец, т.е. 75,00лв. </w:t>
      </w:r>
      <w:r w:rsidR="00B85707">
        <w:t>или</w:t>
      </w:r>
      <w:r>
        <w:t xml:space="preserve"> размерът на месечната такса остава непроменен.</w:t>
      </w:r>
    </w:p>
    <w:p w:rsidR="00B85707" w:rsidRPr="00ED4CC7" w:rsidRDefault="00804192" w:rsidP="00B85707">
      <w:pPr>
        <w:pStyle w:val="a3"/>
        <w:jc w:val="both"/>
        <w:rPr>
          <w:b/>
        </w:rPr>
      </w:pPr>
      <w:r>
        <w:lastRenderedPageBreak/>
        <w:t xml:space="preserve">    </w:t>
      </w:r>
      <w:r w:rsidR="00B85707">
        <w:t xml:space="preserve">   </w:t>
      </w:r>
      <w:r w:rsidR="00B85707">
        <w:t>Следва да се има предвид</w:t>
      </w:r>
      <w:r w:rsidR="00B85707">
        <w:t xml:space="preserve">, че в издаденото Разрешение № ОБ-000019-6/06.11.2008г. е допусната т.н. „явна техническа грешка“, а именно: фирмата е вписана с БУЛСТАТ 825237132, представляващ номера, под който е включена в Единния класификатор на предприятията, организациите и </w:t>
      </w:r>
      <w:proofErr w:type="spellStart"/>
      <w:r w:rsidR="00B85707">
        <w:t>учрежденията</w:t>
      </w:r>
      <w:proofErr w:type="spellEnd"/>
      <w:r w:rsidR="00B85707">
        <w:t xml:space="preserve">, съгласно Удостоверение от 11.03.1994г. на Териториално статистически бюро –Пловдив. По-късно, на 04.03.2002г., фирмата е вписана в Единния държавен регистър на стопанските субекти „БУЛСТАТ“ с идентификационен код 115686556, съгл. Карта за идентификация № 0969217, издадена на 04.03.2002г. от Национален статистически институт. </w:t>
      </w:r>
      <w:r w:rsidR="00597A2A">
        <w:t>Именно, п</w:t>
      </w:r>
      <w:r w:rsidR="00B85707">
        <w:t xml:space="preserve">ромяната в </w:t>
      </w:r>
      <w:proofErr w:type="spellStart"/>
      <w:r w:rsidR="00B85707">
        <w:t>Булстата</w:t>
      </w:r>
      <w:proofErr w:type="spellEnd"/>
      <w:r w:rsidR="00B85707">
        <w:t xml:space="preserve"> не е отразена в упоменатото разрешение. </w:t>
      </w:r>
      <w:r w:rsidR="00B85707" w:rsidRPr="00ED4CC7">
        <w:rPr>
          <w:b/>
        </w:rPr>
        <w:t xml:space="preserve">В </w:t>
      </w:r>
      <w:r w:rsidR="000466E1">
        <w:rPr>
          <w:b/>
        </w:rPr>
        <w:t>настоящия акт</w:t>
      </w:r>
      <w:r w:rsidR="00B85707" w:rsidRPr="00ED4CC7">
        <w:rPr>
          <w:b/>
        </w:rPr>
        <w:t xml:space="preserve"> ЕТ „Здравко </w:t>
      </w:r>
      <w:proofErr w:type="spellStart"/>
      <w:r w:rsidR="00B85707" w:rsidRPr="00ED4CC7">
        <w:rPr>
          <w:b/>
        </w:rPr>
        <w:t>Арменков</w:t>
      </w:r>
      <w:proofErr w:type="spellEnd"/>
      <w:r w:rsidR="00B85707" w:rsidRPr="00ED4CC7">
        <w:rPr>
          <w:b/>
        </w:rPr>
        <w:t xml:space="preserve">“ се идентифицира с </w:t>
      </w:r>
      <w:r w:rsidR="000466E1">
        <w:rPr>
          <w:b/>
        </w:rPr>
        <w:t>ЕИК</w:t>
      </w:r>
      <w:r w:rsidR="00B85707" w:rsidRPr="00ED4CC7">
        <w:rPr>
          <w:b/>
        </w:rPr>
        <w:t xml:space="preserve"> 115686556.  </w:t>
      </w:r>
    </w:p>
    <w:p w:rsidR="00B85707" w:rsidRPr="00FE5D7D" w:rsidRDefault="00B85707" w:rsidP="00B85707">
      <w:pPr>
        <w:pStyle w:val="a3"/>
        <w:ind w:hanging="284"/>
        <w:jc w:val="both"/>
      </w:pPr>
      <w:r>
        <w:t xml:space="preserve">      </w:t>
      </w:r>
      <w:r w:rsidRPr="00D27011">
        <w:t xml:space="preserve"> </w:t>
      </w:r>
      <w:r>
        <w:t xml:space="preserve">   </w:t>
      </w:r>
      <w:r w:rsidRPr="00D27011">
        <w:t xml:space="preserve"> </w:t>
      </w:r>
      <w:r>
        <w:t xml:space="preserve">На 21.01.2014г., </w:t>
      </w:r>
      <w:r w:rsidRPr="00D27011">
        <w:t xml:space="preserve">във връзка с провежданата инвентаризация на активите и пасивите </w:t>
      </w:r>
      <w:r>
        <w:t xml:space="preserve">в Община Пловдив по разчетни сметки към 31.12.2013г. </w:t>
      </w:r>
      <w:r w:rsidRPr="00D27011">
        <w:t xml:space="preserve">по Разрешение № </w:t>
      </w:r>
      <w:r>
        <w:t xml:space="preserve">ОБ-000019-6/06.11.2008г., до </w:t>
      </w:r>
      <w:r w:rsidRPr="00051C51">
        <w:rPr>
          <w:b/>
        </w:rPr>
        <w:t>ЕТ „</w:t>
      </w:r>
      <w:r>
        <w:rPr>
          <w:b/>
        </w:rPr>
        <w:t xml:space="preserve">Здравко </w:t>
      </w:r>
      <w:proofErr w:type="spellStart"/>
      <w:r>
        <w:rPr>
          <w:b/>
        </w:rPr>
        <w:t>Арменков</w:t>
      </w:r>
      <w:proofErr w:type="spellEnd"/>
      <w:r w:rsidRPr="00051C51">
        <w:rPr>
          <w:b/>
        </w:rPr>
        <w:t xml:space="preserve">“ с ЕИК </w:t>
      </w:r>
      <w:r>
        <w:rPr>
          <w:b/>
        </w:rPr>
        <w:t>115686556</w:t>
      </w:r>
      <w:r w:rsidRPr="00D27011">
        <w:t xml:space="preserve"> </w:t>
      </w:r>
      <w:r>
        <w:t>е</w:t>
      </w:r>
      <w:r w:rsidRPr="00D27011">
        <w:t xml:space="preserve"> изпратен</w:t>
      </w:r>
      <w:r>
        <w:t>о</w:t>
      </w:r>
      <w:r w:rsidRPr="00D27011">
        <w:t xml:space="preserve">  писм</w:t>
      </w:r>
      <w:r>
        <w:t>о с изх. № 14Ф 873</w:t>
      </w:r>
      <w:r>
        <w:rPr>
          <w:lang w:val="en-US"/>
        </w:rPr>
        <w:t>(</w:t>
      </w:r>
      <w:r>
        <w:t>43</w:t>
      </w:r>
      <w:r>
        <w:rPr>
          <w:lang w:val="en-US"/>
        </w:rPr>
        <w:t>)</w:t>
      </w:r>
      <w:r>
        <w:t xml:space="preserve">/21.01.2014г. </w:t>
      </w:r>
      <w:r w:rsidRPr="00D27011">
        <w:t>за потвърждение на задължение към Община Пловдив</w:t>
      </w:r>
      <w:r w:rsidRPr="00051C51">
        <w:t xml:space="preserve"> </w:t>
      </w:r>
      <w:r>
        <w:t>в</w:t>
      </w:r>
      <w:r w:rsidRPr="00D27011">
        <w:t xml:space="preserve"> размер на</w:t>
      </w:r>
      <w:r>
        <w:t xml:space="preserve"> </w:t>
      </w:r>
      <w:r>
        <w:rPr>
          <w:i/>
        </w:rPr>
        <w:t>416,66</w:t>
      </w:r>
      <w:r w:rsidRPr="00051C51">
        <w:rPr>
          <w:i/>
        </w:rPr>
        <w:t xml:space="preserve"> лв. </w:t>
      </w:r>
      <w:r w:rsidRPr="00EE22AB">
        <w:rPr>
          <w:i/>
        </w:rPr>
        <w:t>(</w:t>
      </w:r>
      <w:r>
        <w:rPr>
          <w:i/>
        </w:rPr>
        <w:t>четиристотин и шестнадесет</w:t>
      </w:r>
      <w:r w:rsidRPr="00EE22AB">
        <w:rPr>
          <w:i/>
        </w:rPr>
        <w:t xml:space="preserve"> лева и </w:t>
      </w:r>
      <w:r>
        <w:rPr>
          <w:i/>
        </w:rPr>
        <w:t>шестдесет  и шест</w:t>
      </w:r>
      <w:r w:rsidRPr="00EE22AB">
        <w:rPr>
          <w:i/>
        </w:rPr>
        <w:t xml:space="preserve"> стотинки), от които: главница </w:t>
      </w:r>
      <w:r>
        <w:rPr>
          <w:i/>
        </w:rPr>
        <w:t>300,00</w:t>
      </w:r>
      <w:r w:rsidRPr="00EE22AB">
        <w:rPr>
          <w:i/>
        </w:rPr>
        <w:t xml:space="preserve"> лв. (</w:t>
      </w:r>
      <w:r>
        <w:rPr>
          <w:i/>
        </w:rPr>
        <w:t>триста</w:t>
      </w:r>
      <w:r w:rsidRPr="00EE22AB">
        <w:rPr>
          <w:i/>
        </w:rPr>
        <w:t xml:space="preserve"> лева</w:t>
      </w:r>
      <w:r>
        <w:rPr>
          <w:i/>
        </w:rPr>
        <w:t xml:space="preserve"> и нула стотинки</w:t>
      </w:r>
      <w:r w:rsidRPr="00EE22AB">
        <w:rPr>
          <w:i/>
        </w:rPr>
        <w:t xml:space="preserve">)  и лихва </w:t>
      </w:r>
      <w:r>
        <w:rPr>
          <w:i/>
        </w:rPr>
        <w:t>–</w:t>
      </w:r>
      <w:r w:rsidRPr="00EE22AB">
        <w:rPr>
          <w:i/>
        </w:rPr>
        <w:t xml:space="preserve"> </w:t>
      </w:r>
      <w:r>
        <w:rPr>
          <w:i/>
        </w:rPr>
        <w:t>116,66</w:t>
      </w:r>
      <w:r w:rsidRPr="00EE22AB">
        <w:rPr>
          <w:i/>
        </w:rPr>
        <w:t xml:space="preserve"> лв. (</w:t>
      </w:r>
      <w:r>
        <w:rPr>
          <w:i/>
        </w:rPr>
        <w:t xml:space="preserve">сто </w:t>
      </w:r>
      <w:r w:rsidRPr="00EE22AB">
        <w:rPr>
          <w:i/>
        </w:rPr>
        <w:t xml:space="preserve">и </w:t>
      </w:r>
      <w:r>
        <w:rPr>
          <w:i/>
        </w:rPr>
        <w:t>шестнадесет</w:t>
      </w:r>
      <w:r w:rsidRPr="00EE22AB">
        <w:rPr>
          <w:i/>
        </w:rPr>
        <w:t xml:space="preserve"> лева и </w:t>
      </w:r>
      <w:r>
        <w:rPr>
          <w:i/>
        </w:rPr>
        <w:t>шестдесет и шест</w:t>
      </w:r>
      <w:r w:rsidRPr="00EE22AB">
        <w:rPr>
          <w:i/>
        </w:rPr>
        <w:t xml:space="preserve"> стотинки).</w:t>
      </w:r>
      <w:r>
        <w:rPr>
          <w:i/>
        </w:rPr>
        <w:t xml:space="preserve"> </w:t>
      </w:r>
      <w:r>
        <w:t>Обратната разписки към Писмото се е върнала в Община Пловдив с отметка на пощенския оператор „Непълен адрес на получателя“.</w:t>
      </w:r>
    </w:p>
    <w:p w:rsidR="00804192" w:rsidRDefault="00804192" w:rsidP="00B85707">
      <w:pPr>
        <w:pStyle w:val="a3"/>
        <w:ind w:hanging="284"/>
        <w:jc w:val="both"/>
      </w:pPr>
    </w:p>
    <w:p w:rsidR="004B0B47" w:rsidRPr="000C0C37" w:rsidRDefault="004B0B47" w:rsidP="004B0B47">
      <w:pPr>
        <w:pStyle w:val="a3"/>
        <w:jc w:val="both"/>
        <w:rPr>
          <w:lang w:val="en-US"/>
        </w:rPr>
      </w:pPr>
      <w:r>
        <w:t xml:space="preserve">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4B0B47" w:rsidRDefault="004B0B47" w:rsidP="004B0B47">
      <w:pPr>
        <w:pStyle w:val="a3"/>
        <w:jc w:val="both"/>
      </w:pPr>
      <w:r>
        <w:rPr>
          <w:lang w:val="en-US"/>
        </w:rPr>
        <w:t xml:space="preserve">        </w:t>
      </w:r>
      <w:r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4B0B47" w:rsidRDefault="004B0B47" w:rsidP="004B0B47">
      <w:pPr>
        <w:pStyle w:val="a3"/>
        <w:jc w:val="both"/>
      </w:pPr>
      <w:r>
        <w:t xml:space="preserve">    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4B0B47" w:rsidRDefault="004B0B47" w:rsidP="004B0B47">
      <w:pPr>
        <w:pStyle w:val="a3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4B0B47" w:rsidRDefault="004B0B47" w:rsidP="004B0B47">
      <w:pPr>
        <w:pStyle w:val="a3"/>
        <w:jc w:val="both"/>
      </w:pPr>
      <w:r>
        <w:t xml:space="preserve">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4B0B47" w:rsidRDefault="004B0B47" w:rsidP="004B0B47">
      <w:pPr>
        <w:pStyle w:val="a3"/>
        <w:jc w:val="both"/>
      </w:pPr>
      <w:r>
        <w:rPr>
          <w:lang w:val="en-US"/>
        </w:rPr>
        <w:t xml:space="preserve">       </w:t>
      </w:r>
      <w:r>
        <w:t>Според текста на чл.20, ал.4 (отм.)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в редакцията й приета с Решение № 6, взето с Протокол № 1 от 22.01.2009г.,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 xml:space="preserve">на квадратен метър съгласно Приложение № 2 </w:t>
      </w:r>
      <w:r>
        <w:t xml:space="preserve">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Пловдив (отм.). В конкретния случай теренът попада в зона – Централна търговска част, съгласно обхвата на зоните, определен с Решение № 149/2000 г. (отм.) на Общински съвет – Пловдив. </w:t>
      </w:r>
    </w:p>
    <w:p w:rsidR="004B0B47" w:rsidRDefault="004B0B47" w:rsidP="004B0B47">
      <w:pPr>
        <w:pStyle w:val="a3"/>
        <w:jc w:val="both"/>
      </w:pPr>
      <w:r>
        <w:t xml:space="preserve">        Съгласно нормативните изисквания на ал.8, буква б</w:t>
      </w:r>
      <w:r>
        <w:rPr>
          <w:lang w:val="en-US"/>
        </w:rPr>
        <w:t>)</w:t>
      </w:r>
      <w:r>
        <w:t xml:space="preserve"> към чл.20 (отм.) от Наредба за определянето и администрирането на местните такси и цени на услуги на територията на Община Пловдив, при ползване на терен общинска собственост за </w:t>
      </w:r>
      <w:proofErr w:type="spellStart"/>
      <w:r>
        <w:t>преместваеми</w:t>
      </w:r>
      <w:proofErr w:type="spellEnd"/>
      <w:r>
        <w:t xml:space="preserve"> съоръжения от инвалиди, те заплащат 50</w:t>
      </w:r>
      <w:r>
        <w:rPr>
          <w:lang w:val="en-US"/>
        </w:rPr>
        <w:t>%</w:t>
      </w:r>
      <w:r>
        <w:t xml:space="preserve"> от  дължимата такса, определена с ал. 4 пак там, съответно за лица с друга група инвалидност – когато лично упражняват дейността.</w:t>
      </w:r>
    </w:p>
    <w:p w:rsidR="004B0B47" w:rsidRPr="00721079" w:rsidRDefault="004B0B47" w:rsidP="004B0B47">
      <w:pPr>
        <w:pStyle w:val="a3"/>
        <w:jc w:val="both"/>
      </w:pPr>
    </w:p>
    <w:p w:rsidR="004B0B47" w:rsidRDefault="004B0B47" w:rsidP="004B0B47">
      <w:pPr>
        <w:pStyle w:val="a3"/>
        <w:jc w:val="both"/>
        <w:rPr>
          <w:b/>
          <w:u w:val="single"/>
        </w:rPr>
      </w:pPr>
      <w:r w:rsidRPr="00473CBD">
        <w:rPr>
          <w:b/>
          <w:u w:val="single"/>
        </w:rPr>
        <w:t>Ето защо:</w:t>
      </w:r>
    </w:p>
    <w:p w:rsidR="004B0B47" w:rsidRPr="00473CBD" w:rsidRDefault="004B0B47" w:rsidP="004B0B47">
      <w:pPr>
        <w:pStyle w:val="a3"/>
        <w:jc w:val="both"/>
        <w:rPr>
          <w:b/>
          <w:u w:val="single"/>
        </w:rPr>
      </w:pPr>
    </w:p>
    <w:p w:rsidR="004B0B47" w:rsidRDefault="004B0B47" w:rsidP="004B0B47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b/>
          <w:szCs w:val="24"/>
        </w:rPr>
        <w:t xml:space="preserve">За 2009 г., считано от 01.02.2009 г., </w:t>
      </w:r>
      <w:r>
        <w:rPr>
          <w:szCs w:val="24"/>
        </w:rPr>
        <w:t>съгласно т. 3 , буква а</w:t>
      </w:r>
      <w:r w:rsidRPr="00DB140D">
        <w:rPr>
          <w:szCs w:val="24"/>
        </w:rPr>
        <w:t>/ на Приложение № 2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>от Решение №</w:t>
      </w:r>
      <w:r>
        <w:rPr>
          <w:szCs w:val="24"/>
        </w:rPr>
        <w:t xml:space="preserve"> 6, взето с Протокол № 1 от 22.01.2009 г. на </w:t>
      </w:r>
      <w:r w:rsidRPr="00DB140D">
        <w:rPr>
          <w:szCs w:val="24"/>
        </w:rPr>
        <w:t xml:space="preserve">Общински съвет – Пловдив, размерът </w:t>
      </w:r>
      <w:r w:rsidRPr="00DB140D">
        <w:rPr>
          <w:szCs w:val="24"/>
        </w:rPr>
        <w:lastRenderedPageBreak/>
        <w:t xml:space="preserve">на таксата за ползване на терени за </w:t>
      </w:r>
      <w:r>
        <w:rPr>
          <w:szCs w:val="24"/>
        </w:rPr>
        <w:t>търговия с всички останали дейности</w:t>
      </w:r>
      <w:r w:rsidRPr="00DB140D">
        <w:rPr>
          <w:szCs w:val="24"/>
        </w:rPr>
        <w:t xml:space="preserve"> за </w:t>
      </w:r>
      <w:r>
        <w:rPr>
          <w:szCs w:val="24"/>
        </w:rPr>
        <w:t>Централна търговска част</w:t>
      </w:r>
      <w:r w:rsidRPr="00DB140D">
        <w:rPr>
          <w:szCs w:val="24"/>
        </w:rPr>
        <w:t xml:space="preserve"> е </w:t>
      </w:r>
      <w:r>
        <w:rPr>
          <w:szCs w:val="24"/>
        </w:rPr>
        <w:t>25</w:t>
      </w:r>
      <w:r w:rsidRPr="00DB140D">
        <w:rPr>
          <w:szCs w:val="24"/>
        </w:rPr>
        <w:t>,00 лв./кв.м. на месец</w:t>
      </w:r>
      <w:r>
        <w:rPr>
          <w:szCs w:val="24"/>
        </w:rPr>
        <w:t>.</w:t>
      </w:r>
    </w:p>
    <w:p w:rsidR="004B0B47" w:rsidRPr="00D17E96" w:rsidRDefault="004B0B47" w:rsidP="004B0B47">
      <w:pPr>
        <w:pStyle w:val="a6"/>
        <w:numPr>
          <w:ilvl w:val="0"/>
          <w:numId w:val="17"/>
        </w:numPr>
        <w:tabs>
          <w:tab w:val="left" w:pos="993"/>
        </w:tabs>
        <w:jc w:val="both"/>
        <w:rPr>
          <w:szCs w:val="24"/>
        </w:rPr>
      </w:pPr>
      <w:r w:rsidRPr="00D17E96">
        <w:rPr>
          <w:i/>
          <w:szCs w:val="24"/>
        </w:rPr>
        <w:t>Разчет</w:t>
      </w:r>
      <w:r w:rsidRPr="00D17E96">
        <w:rPr>
          <w:szCs w:val="24"/>
        </w:rPr>
        <w:t xml:space="preserve">: </w:t>
      </w:r>
      <w:r>
        <w:rPr>
          <w:szCs w:val="24"/>
        </w:rPr>
        <w:t>3</w:t>
      </w:r>
      <w:r w:rsidRPr="00D17E96">
        <w:rPr>
          <w:szCs w:val="24"/>
        </w:rPr>
        <w:t xml:space="preserve"> кв.м * 2</w:t>
      </w:r>
      <w:r>
        <w:rPr>
          <w:szCs w:val="24"/>
        </w:rPr>
        <w:t>5</w:t>
      </w:r>
      <w:r w:rsidRPr="00D17E96">
        <w:rPr>
          <w:szCs w:val="24"/>
        </w:rPr>
        <w:t xml:space="preserve">,00 лв./кв.м </w:t>
      </w:r>
      <w:r w:rsidRPr="00D17E96">
        <w:rPr>
          <w:szCs w:val="24"/>
          <w:lang w:val="en-US"/>
        </w:rPr>
        <w:t>=</w:t>
      </w:r>
      <w:r w:rsidRPr="00D17E96">
        <w:rPr>
          <w:szCs w:val="24"/>
        </w:rPr>
        <w:t xml:space="preserve"> </w:t>
      </w:r>
      <w:r>
        <w:rPr>
          <w:szCs w:val="24"/>
        </w:rPr>
        <w:t>75</w:t>
      </w:r>
      <w:r w:rsidRPr="00D17E96">
        <w:rPr>
          <w:szCs w:val="24"/>
        </w:rPr>
        <w:t>,00 лв. / месец с ДДС</w:t>
      </w:r>
      <w:r>
        <w:rPr>
          <w:szCs w:val="24"/>
        </w:rPr>
        <w:t>, респективно след прилагане на Решение ТЕЛК става 50</w:t>
      </w:r>
      <w:r>
        <w:rPr>
          <w:szCs w:val="24"/>
          <w:lang w:val="en-US"/>
        </w:rPr>
        <w:t>%</w:t>
      </w:r>
      <w:r>
        <w:rPr>
          <w:szCs w:val="24"/>
        </w:rPr>
        <w:t xml:space="preserve"> от дължимата такса или 37,50 лв./месец.</w:t>
      </w:r>
    </w:p>
    <w:p w:rsidR="004B0B47" w:rsidRPr="00DB140D" w:rsidRDefault="004B0B47" w:rsidP="004B0B47">
      <w:pPr>
        <w:pStyle w:val="a6"/>
        <w:ind w:firstLine="851"/>
        <w:jc w:val="both"/>
        <w:rPr>
          <w:szCs w:val="24"/>
        </w:rPr>
      </w:pPr>
    </w:p>
    <w:p w:rsidR="004B0B47" w:rsidRDefault="004B0B47" w:rsidP="004B0B47">
      <w:pPr>
        <w:pStyle w:val="a3"/>
        <w:jc w:val="both"/>
      </w:pPr>
      <w:r>
        <w:t xml:space="preserve">         Във връзка с изложеното по-горе, </w:t>
      </w:r>
      <w:r w:rsidRPr="000B1BEE">
        <w:rPr>
          <w:b/>
        </w:rPr>
        <w:t>начислените такси</w:t>
      </w:r>
      <w:r>
        <w:t xml:space="preserve"> по Разрешение № ОБ-000019-6 / 06.11.2008 г., издадено от Кмета на район „Централен“ при Община Пловдив за ползване на терен-общинска собственост с площ от 3.00 кв.м., </w:t>
      </w:r>
      <w:proofErr w:type="spellStart"/>
      <w:r>
        <w:t>находящ</w:t>
      </w:r>
      <w:proofErr w:type="spellEnd"/>
      <w:r>
        <w:t xml:space="preserve"> се в гр.Пловдив, пл. „</w:t>
      </w:r>
      <w:proofErr w:type="spellStart"/>
      <w:r>
        <w:t>Джумая</w:t>
      </w:r>
      <w:proofErr w:type="spellEnd"/>
      <w:r>
        <w:t xml:space="preserve">”/старо име/, място № 54 по одобрена схема, за периода от 01.02.2009 г. до 30.09.2009 г. по месеци, са както следва:   </w:t>
      </w:r>
    </w:p>
    <w:p w:rsidR="004B0B47" w:rsidRDefault="004B0B47" w:rsidP="004B0B47">
      <w:pPr>
        <w:pStyle w:val="a3"/>
        <w:jc w:val="both"/>
      </w:pP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01.02.2008 г. – 28.02.2009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01.03.2009 г. – 31.03.2009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01.04.2009 г. – 30.04.2009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01.05.2009 г. – 31.05.2009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01.06.2009 г. – 30.06.2009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01.07.2009 г. – 31.07.2009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01.08.2009 г. – 31.08.2009 г. - такса   37,50 лв. </w:t>
      </w:r>
    </w:p>
    <w:p w:rsidR="004B0B47" w:rsidRDefault="004B0B47" w:rsidP="004B0B47">
      <w:pPr>
        <w:pStyle w:val="a3"/>
        <w:numPr>
          <w:ilvl w:val="0"/>
          <w:numId w:val="4"/>
        </w:numPr>
        <w:jc w:val="both"/>
      </w:pPr>
      <w:r>
        <w:t xml:space="preserve">За 01.09.2009 г. – 30.09.2009 г. - такса   37,50 лв. </w:t>
      </w:r>
    </w:p>
    <w:p w:rsidR="004B0B47" w:rsidRDefault="004B0B47" w:rsidP="004B0B47">
      <w:pPr>
        <w:pStyle w:val="a3"/>
        <w:ind w:left="360"/>
        <w:jc w:val="both"/>
        <w:rPr>
          <w:b/>
        </w:rPr>
      </w:pPr>
    </w:p>
    <w:p w:rsidR="004B0B47" w:rsidRDefault="004B0B47" w:rsidP="004B0B47">
      <w:pPr>
        <w:pStyle w:val="a3"/>
        <w:ind w:left="360"/>
        <w:jc w:val="both"/>
        <w:rPr>
          <w:b/>
        </w:rPr>
      </w:pPr>
      <w:r>
        <w:rPr>
          <w:b/>
        </w:rPr>
        <w:t>Общо начислени такси – 300,00 лв. (триста лева и нула стотинки).</w:t>
      </w:r>
    </w:p>
    <w:p w:rsidR="00035D13" w:rsidRPr="00DB140D" w:rsidRDefault="00035D13" w:rsidP="00035D13">
      <w:pPr>
        <w:pStyle w:val="a6"/>
        <w:ind w:firstLine="851"/>
        <w:jc w:val="both"/>
        <w:rPr>
          <w:szCs w:val="24"/>
        </w:rPr>
      </w:pPr>
    </w:p>
    <w:p w:rsidR="00D271CB" w:rsidRDefault="008A6688" w:rsidP="00035D13">
      <w:pPr>
        <w:pStyle w:val="a3"/>
        <w:jc w:val="both"/>
      </w:pPr>
      <w:r>
        <w:t xml:space="preserve">   </w:t>
      </w:r>
      <w:r w:rsidR="00B15E50">
        <w:t xml:space="preserve"> </w:t>
      </w:r>
      <w:r w:rsidR="00D271CB">
        <w:t xml:space="preserve">  </w:t>
      </w:r>
      <w:r w:rsidR="00B15E50">
        <w:t>Отново по правен аргумент на</w:t>
      </w:r>
      <w:r w:rsidR="00D271CB">
        <w:t xml:space="preserve"> чл. 73, ал.1 от ЗМДТ таксата за ползване на пазари, тържища, тротоари, площади, улични платна, панаири и терени с друго предназначение се заплаща от </w:t>
      </w:r>
      <w:r w:rsidR="00B15E50">
        <w:t>физическите и юридическите лица.</w:t>
      </w:r>
      <w:r w:rsidR="00D271CB">
        <w:t xml:space="preserve"> </w:t>
      </w:r>
    </w:p>
    <w:p w:rsidR="00D44FA5" w:rsidRDefault="00D271CB" w:rsidP="00D44FA5">
      <w:pPr>
        <w:pStyle w:val="a3"/>
        <w:jc w:val="both"/>
      </w:pPr>
      <w:r>
        <w:t xml:space="preserve">      </w:t>
      </w:r>
      <w:r w:rsidR="00D44FA5">
        <w:t>Според разпоредбата на чл. 79, ал.2 от ЗМДТ при ползване на мястото повече от един месец таксите се заплащат месечно.</w:t>
      </w:r>
    </w:p>
    <w:p w:rsidR="00D44FA5" w:rsidRDefault="00D44FA5" w:rsidP="00D44FA5">
      <w:pPr>
        <w:pStyle w:val="a3"/>
        <w:jc w:val="both"/>
      </w:pPr>
      <w:r>
        <w:t xml:space="preserve">      Съгласно чл.20, ал. 5 (отм.)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между 1 и 20 число на текущия месец, в касата на съответната общинска администрация или по банковата сметка на Общината.</w:t>
      </w:r>
    </w:p>
    <w:p w:rsidR="00D44FA5" w:rsidRDefault="00D44FA5" w:rsidP="00D44FA5">
      <w:pPr>
        <w:pStyle w:val="a3"/>
        <w:jc w:val="both"/>
      </w:pPr>
      <w:r>
        <w:t xml:space="preserve">       На следващо място, съгласно т. 6 на Разрешение № ОБ-000019-6/06.11.2008 г., издадено от Кмета на район „Централен“ при Община Пловдив, ползвателят е длъжен да заплаща дължимите такси за търговска дейност по ЗМДТ, определени с решение на Общински съвет </w:t>
      </w:r>
      <w:r w:rsidRPr="00FD6F73">
        <w:rPr>
          <w:b/>
          <w:i/>
        </w:rPr>
        <w:t>в срок от 01-во до 20-то число на текущия месец</w:t>
      </w:r>
      <w:r>
        <w:t xml:space="preserve"> .</w:t>
      </w:r>
    </w:p>
    <w:p w:rsidR="00D44FA5" w:rsidRDefault="00D44FA5" w:rsidP="00D44FA5">
      <w:pPr>
        <w:pStyle w:val="a3"/>
        <w:jc w:val="both"/>
      </w:pPr>
    </w:p>
    <w:p w:rsidR="00D44FA5" w:rsidRDefault="00D44FA5" w:rsidP="00D44FA5">
      <w:pPr>
        <w:pStyle w:val="a3"/>
        <w:jc w:val="both"/>
        <w:rPr>
          <w:b/>
          <w:i/>
        </w:rPr>
      </w:pPr>
      <w:r>
        <w:t xml:space="preserve">     </w:t>
      </w:r>
      <w:r>
        <w:t xml:space="preserve">От гореизложеното се формира извода, че ЕТ </w:t>
      </w:r>
      <w:r>
        <w:rPr>
          <w:b/>
        </w:rPr>
        <w:t>„</w:t>
      </w:r>
      <w:r>
        <w:t xml:space="preserve">ЗДРАВКО АРМЕНКОВ“ </w:t>
      </w:r>
      <w:r w:rsidRPr="00E667A1">
        <w:t xml:space="preserve">с ЕИК </w:t>
      </w:r>
      <w:r>
        <w:t>115686556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>, е лицето,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>
        <w:rPr>
          <w:i/>
        </w:rPr>
        <w:t xml:space="preserve"> в срок до 20-то число на текущия месец начислените </w:t>
      </w:r>
      <w:r w:rsidRPr="00F80FA9">
        <w:rPr>
          <w:b/>
          <w:i/>
        </w:rPr>
        <w:t>такси</w:t>
      </w:r>
      <w:r>
        <w:rPr>
          <w:b/>
          <w:i/>
        </w:rPr>
        <w:t xml:space="preserve"> по чл. 72 от ЗМДТ,</w:t>
      </w:r>
      <w:r>
        <w:rPr>
          <w:i/>
        </w:rPr>
        <w:t xml:space="preserve"> определени в размер на </w:t>
      </w:r>
      <w:r>
        <w:rPr>
          <w:b/>
          <w:i/>
        </w:rPr>
        <w:t>37,50</w:t>
      </w:r>
      <w:r w:rsidRPr="00095B45">
        <w:rPr>
          <w:b/>
          <w:i/>
        </w:rPr>
        <w:t xml:space="preserve"> лв.</w:t>
      </w:r>
      <w:r>
        <w:rPr>
          <w:i/>
        </w:rPr>
        <w:t xml:space="preserve"> </w:t>
      </w:r>
      <w:r w:rsidRPr="00095B45">
        <w:rPr>
          <w:b/>
          <w:i/>
        </w:rPr>
        <w:t xml:space="preserve">на месец </w:t>
      </w:r>
      <w:r>
        <w:rPr>
          <w:i/>
        </w:rPr>
        <w:t xml:space="preserve">или общо </w:t>
      </w:r>
      <w:r>
        <w:rPr>
          <w:b/>
          <w:i/>
        </w:rPr>
        <w:t xml:space="preserve">за разглеждания период от 01.02.2009 г. до </w:t>
      </w:r>
      <w:r w:rsidR="00A56331">
        <w:rPr>
          <w:b/>
          <w:i/>
        </w:rPr>
        <w:t xml:space="preserve">срока на действие на разрешението - </w:t>
      </w:r>
      <w:r>
        <w:rPr>
          <w:b/>
          <w:i/>
        </w:rPr>
        <w:t>30.09.2009 г.</w:t>
      </w:r>
      <w:r w:rsidR="00A56331">
        <w:rPr>
          <w:b/>
          <w:i/>
        </w:rPr>
        <w:t>,</w:t>
      </w:r>
      <w:r>
        <w:rPr>
          <w:b/>
          <w:i/>
        </w:rPr>
        <w:t xml:space="preserve"> </w:t>
      </w:r>
      <w:r>
        <w:rPr>
          <w:i/>
        </w:rPr>
        <w:t xml:space="preserve">в размер на </w:t>
      </w:r>
      <w:r>
        <w:rPr>
          <w:b/>
          <w:i/>
        </w:rPr>
        <w:t>300,00</w:t>
      </w:r>
      <w:r w:rsidRPr="00F80FA9">
        <w:rPr>
          <w:b/>
          <w:i/>
        </w:rPr>
        <w:t xml:space="preserve"> лв. </w:t>
      </w:r>
    </w:p>
    <w:p w:rsidR="00D44FA5" w:rsidRDefault="00D44FA5" w:rsidP="00D44FA5">
      <w:pPr>
        <w:pStyle w:val="a3"/>
        <w:jc w:val="both"/>
        <w:rPr>
          <w:b/>
        </w:rPr>
      </w:pPr>
    </w:p>
    <w:p w:rsidR="00B15E50" w:rsidRDefault="00D44FA5" w:rsidP="00D44FA5">
      <w:pPr>
        <w:pStyle w:val="a3"/>
        <w:jc w:val="both"/>
        <w:rPr>
          <w:b/>
        </w:rPr>
      </w:pPr>
      <w:r>
        <w:rPr>
          <w:b/>
        </w:rPr>
        <w:t xml:space="preserve">   </w:t>
      </w:r>
      <w:r w:rsidR="00E75C10">
        <w:rPr>
          <w:b/>
        </w:rPr>
        <w:t>В аспект на горното, н</w:t>
      </w:r>
      <w:r w:rsidR="00B15E50">
        <w:rPr>
          <w:b/>
        </w:rPr>
        <w:t xml:space="preserve">ачислените задълженията по чл. 72 от ЗМДТ на </w:t>
      </w:r>
      <w:r w:rsidR="00E75C10">
        <w:rPr>
          <w:b/>
        </w:rPr>
        <w:t>ЕТ „</w:t>
      </w:r>
      <w:r>
        <w:rPr>
          <w:b/>
        </w:rPr>
        <w:t>ЗДРАВКО АРМЕНКОВ</w:t>
      </w:r>
      <w:r w:rsidR="00E75C10">
        <w:rPr>
          <w:b/>
        </w:rPr>
        <w:t>” с</w:t>
      </w:r>
      <w:r w:rsidR="00E75C10" w:rsidRPr="00F82C7D">
        <w:rPr>
          <w:b/>
        </w:rPr>
        <w:t xml:space="preserve"> </w:t>
      </w:r>
      <w:r w:rsidR="00E75C10">
        <w:rPr>
          <w:b/>
        </w:rPr>
        <w:t>ЕИК</w:t>
      </w:r>
      <w:r w:rsidR="00E75C10" w:rsidRPr="00F82C7D">
        <w:rPr>
          <w:b/>
        </w:rPr>
        <w:t xml:space="preserve"> </w:t>
      </w:r>
      <w:r>
        <w:rPr>
          <w:b/>
        </w:rPr>
        <w:t>115686556</w:t>
      </w:r>
      <w:r w:rsidR="00E75C10" w:rsidRPr="00F82C7D">
        <w:rPr>
          <w:b/>
        </w:rPr>
        <w:t>, със седалище и адрес на управление: гр. Пловдив 400</w:t>
      </w:r>
      <w:r w:rsidR="00E75C10">
        <w:rPr>
          <w:b/>
        </w:rPr>
        <w:t>0</w:t>
      </w:r>
      <w:r w:rsidR="00E75C10" w:rsidRPr="00F82C7D">
        <w:rPr>
          <w:b/>
        </w:rPr>
        <w:t>, район „</w:t>
      </w:r>
      <w:r>
        <w:rPr>
          <w:b/>
        </w:rPr>
        <w:t>Северен</w:t>
      </w:r>
      <w:r w:rsidR="00E75C10" w:rsidRPr="00F82C7D">
        <w:rPr>
          <w:b/>
        </w:rPr>
        <w:t xml:space="preserve">”, </w:t>
      </w:r>
      <w:r>
        <w:rPr>
          <w:b/>
        </w:rPr>
        <w:t>б</w:t>
      </w:r>
      <w:r w:rsidR="00E75C10" w:rsidRPr="00F82C7D">
        <w:rPr>
          <w:b/>
        </w:rPr>
        <w:t>ул. „</w:t>
      </w:r>
      <w:r>
        <w:rPr>
          <w:b/>
        </w:rPr>
        <w:t>България</w:t>
      </w:r>
      <w:r w:rsidR="00E75C10" w:rsidRPr="00F82C7D">
        <w:rPr>
          <w:b/>
        </w:rPr>
        <w:t>” №</w:t>
      </w:r>
      <w:r>
        <w:rPr>
          <w:b/>
        </w:rPr>
        <w:t>82, ет.4, ап.43</w:t>
      </w:r>
      <w:r w:rsidR="00E75C10">
        <w:rPr>
          <w:b/>
        </w:rPr>
        <w:t xml:space="preserve">, представлявано от собственика </w:t>
      </w:r>
      <w:r>
        <w:rPr>
          <w:b/>
        </w:rPr>
        <w:t xml:space="preserve">Здравко Ангелов </w:t>
      </w:r>
      <w:proofErr w:type="spellStart"/>
      <w:r>
        <w:rPr>
          <w:b/>
        </w:rPr>
        <w:t>Арменков</w:t>
      </w:r>
      <w:proofErr w:type="spellEnd"/>
      <w:r w:rsidR="00B15E50">
        <w:rPr>
          <w:b/>
        </w:rPr>
        <w:t xml:space="preserve">, за периода: </w:t>
      </w:r>
      <w:r w:rsidR="00B15E50">
        <w:rPr>
          <w:b/>
          <w:i/>
        </w:rPr>
        <w:t>от 01.</w:t>
      </w:r>
      <w:r>
        <w:rPr>
          <w:b/>
          <w:i/>
        </w:rPr>
        <w:t>02.2009</w:t>
      </w:r>
      <w:r w:rsidR="00B15E50">
        <w:rPr>
          <w:b/>
          <w:i/>
        </w:rPr>
        <w:t xml:space="preserve"> г. до </w:t>
      </w:r>
      <w:r w:rsidR="00E75C10">
        <w:rPr>
          <w:b/>
          <w:i/>
        </w:rPr>
        <w:t>30.09.2009</w:t>
      </w:r>
      <w:r w:rsidR="00B15E50">
        <w:rPr>
          <w:b/>
          <w:i/>
        </w:rPr>
        <w:t xml:space="preserve"> г</w:t>
      </w:r>
      <w:r w:rsidR="00B15E50" w:rsidRPr="00C7615B">
        <w:rPr>
          <w:b/>
          <w:i/>
        </w:rPr>
        <w:t>.</w:t>
      </w:r>
      <w:r w:rsidR="00B15E50">
        <w:rPr>
          <w:b/>
          <w:i/>
        </w:rPr>
        <w:t xml:space="preserve"> вкл., </w:t>
      </w:r>
      <w:r w:rsidR="00B15E50">
        <w:rPr>
          <w:b/>
        </w:rPr>
        <w:t>са описани в табличен вид по-долу, а именно:</w:t>
      </w:r>
    </w:p>
    <w:p w:rsidR="00E75C10" w:rsidRDefault="00E75C10" w:rsidP="00B15E50">
      <w:pPr>
        <w:pStyle w:val="a3"/>
        <w:ind w:firstLine="360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D44FA5" w:rsidRPr="00E32D49" w:rsidRDefault="00D44FA5" w:rsidP="00361F8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D44FA5" w:rsidRPr="00E32D49" w:rsidRDefault="00D44FA5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D44FA5" w:rsidRPr="00E32D49" w:rsidRDefault="00D44FA5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D44FA5" w:rsidRDefault="00D44FA5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D44FA5" w:rsidRPr="007033AD" w:rsidRDefault="00D44FA5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D44FA5" w:rsidRPr="00E32D49" w:rsidRDefault="00D44FA5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D44FA5" w:rsidTr="00361F8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D44FA5" w:rsidRDefault="00D44FA5" w:rsidP="00361F8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D44FA5" w:rsidRDefault="00D44FA5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D44FA5" w:rsidRDefault="00D44FA5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D44FA5" w:rsidRDefault="00D44FA5" w:rsidP="00361F89">
            <w:pPr>
              <w:jc w:val="center"/>
              <w:rPr>
                <w:b/>
                <w:lang w:val="bg-BG"/>
              </w:rPr>
            </w:pP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D44FA5" w:rsidRDefault="00D44FA5" w:rsidP="00361F8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3274" w:type="dxa"/>
          </w:tcPr>
          <w:p w:rsidR="00D44FA5" w:rsidRDefault="00D44FA5" w:rsidP="00361F8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D44FA5" w:rsidRDefault="00D44FA5" w:rsidP="00361F8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D44FA5" w:rsidRDefault="00D44FA5" w:rsidP="00361F8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D44FA5" w:rsidRPr="00DC4468" w:rsidRDefault="00D44FA5" w:rsidP="00361F8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D44FA5" w:rsidRPr="00DC4468" w:rsidRDefault="00D44FA5" w:rsidP="00361F8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 31.07.2009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D44FA5" w:rsidRPr="00DC4468" w:rsidRDefault="00D44FA5" w:rsidP="00361F8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274" w:type="dxa"/>
          </w:tcPr>
          <w:p w:rsidR="00D44FA5" w:rsidRPr="00DC4468" w:rsidRDefault="00D44FA5" w:rsidP="00361F8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44FA5" w:rsidRDefault="00D44FA5" w:rsidP="00361F89">
            <w:pPr>
              <w:jc w:val="right"/>
            </w:pPr>
            <w:r w:rsidRPr="0034489B">
              <w:rPr>
                <w:sz w:val="24"/>
                <w:szCs w:val="24"/>
                <w:lang w:val="bg-BG"/>
              </w:rPr>
              <w:t>37,50</w:t>
            </w:r>
          </w:p>
        </w:tc>
      </w:tr>
      <w:tr w:rsidR="00D44FA5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D44FA5" w:rsidRDefault="00D44FA5" w:rsidP="00D44FA5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74" w:type="dxa"/>
          </w:tcPr>
          <w:p w:rsidR="00D44FA5" w:rsidRDefault="00D44FA5" w:rsidP="00361F89">
            <w:pPr>
              <w:rPr>
                <w:sz w:val="24"/>
                <w:szCs w:val="24"/>
                <w:lang w:val="bg-BG"/>
              </w:rPr>
            </w:pPr>
          </w:p>
          <w:p w:rsidR="00D44FA5" w:rsidRPr="00C178B7" w:rsidRDefault="00D44FA5" w:rsidP="00361F8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D44FA5" w:rsidRDefault="00D44FA5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D44FA5" w:rsidRDefault="00D44FA5" w:rsidP="00361F89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  <w:p w:rsidR="00D44FA5" w:rsidRPr="0047214B" w:rsidRDefault="00D44FA5" w:rsidP="00361F8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300,00</w:t>
            </w:r>
          </w:p>
        </w:tc>
      </w:tr>
    </w:tbl>
    <w:p w:rsidR="00D44FA5" w:rsidRDefault="00D44FA5" w:rsidP="00D44FA5">
      <w:pPr>
        <w:pStyle w:val="a3"/>
        <w:ind w:firstLine="360"/>
        <w:jc w:val="both"/>
        <w:rPr>
          <w:rStyle w:val="af3"/>
          <w:i w:val="0"/>
        </w:rPr>
      </w:pPr>
    </w:p>
    <w:p w:rsidR="00D44FA5" w:rsidRDefault="00D44FA5" w:rsidP="00D44FA5">
      <w:pPr>
        <w:pStyle w:val="a3"/>
        <w:tabs>
          <w:tab w:val="left" w:pos="708"/>
        </w:tabs>
        <w:ind w:firstLine="851"/>
        <w:jc w:val="both"/>
      </w:pPr>
      <w:r w:rsidRPr="0088244E">
        <w:rPr>
          <w:rStyle w:val="af3"/>
          <w:i w:val="0"/>
        </w:rPr>
        <w:t xml:space="preserve"> </w:t>
      </w:r>
      <w:r>
        <w:t xml:space="preserve">До датата на съставяне на настоящата </w:t>
      </w:r>
      <w:r>
        <w:t>акт</w:t>
      </w:r>
      <w:r>
        <w:t xml:space="preserve"> –2</w:t>
      </w:r>
      <w:r>
        <w:t>3</w:t>
      </w:r>
      <w:r>
        <w:t xml:space="preserve">.07.2014 г., по Разрешение № ОБ-000019-6 / 06.11.2008 г.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преместмаемо</w:t>
      </w:r>
      <w:proofErr w:type="spellEnd"/>
      <w:r>
        <w:t xml:space="preserve"> съоръжение за търговия по чл. 56 от ЗУТ, от фирма ЕТ „Здравко </w:t>
      </w:r>
      <w:proofErr w:type="spellStart"/>
      <w:r>
        <w:t>Арменков</w:t>
      </w:r>
      <w:proofErr w:type="spellEnd"/>
      <w:r>
        <w:t>” с  ЕИК 115686556 няма извършено плащане в брой на касата или по банковата сметка на Община Пловдив.</w:t>
      </w:r>
    </w:p>
    <w:p w:rsidR="00D271CB" w:rsidRDefault="00D271CB" w:rsidP="00D271CB">
      <w:pPr>
        <w:pStyle w:val="a3"/>
        <w:jc w:val="both"/>
        <w:rPr>
          <w:b/>
        </w:rPr>
      </w:pPr>
    </w:p>
    <w:p w:rsidR="00265978" w:rsidRDefault="00265978" w:rsidP="00265978">
      <w:pPr>
        <w:pStyle w:val="a3"/>
        <w:tabs>
          <w:tab w:val="left" w:pos="708"/>
        </w:tabs>
        <w:ind w:firstLine="426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265978" w:rsidRPr="00AC58E8" w:rsidRDefault="00265978" w:rsidP="00265978">
      <w:pPr>
        <w:pStyle w:val="a3"/>
        <w:jc w:val="both"/>
      </w:pPr>
      <w:r>
        <w:t xml:space="preserve">        Съгласно чл. 20, ал. 11 </w:t>
      </w:r>
      <w:r>
        <w:rPr>
          <w:lang w:val="en-US"/>
        </w:rPr>
        <w:t>(</w:t>
      </w:r>
      <w:r>
        <w:t>предишна ал.10</w:t>
      </w:r>
      <w:r>
        <w:rPr>
          <w:lang w:val="en-US"/>
        </w:rPr>
        <w:t>)</w:t>
      </w:r>
      <w:r>
        <w:t xml:space="preserve">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265978" w:rsidRDefault="00265978" w:rsidP="00265978">
      <w:pPr>
        <w:pStyle w:val="a3"/>
        <w:jc w:val="both"/>
      </w:pPr>
    </w:p>
    <w:p w:rsidR="00265978" w:rsidRDefault="00265978" w:rsidP="00265978">
      <w:pPr>
        <w:pStyle w:val="a3"/>
        <w:tabs>
          <w:tab w:val="left" w:pos="708"/>
        </w:tabs>
        <w:ind w:firstLine="567"/>
        <w:jc w:val="both"/>
      </w:pPr>
      <w:r>
        <w:t xml:space="preserve">Начислените лихви за неплатените суми по Разрешение № ОБ-000019-6 / 06.11.2008 г., издадено от Кмета на район „Централен“ при Община Пловдив,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за търговия по чл. 56 от ЗУТ, са генерирани от програмата за </w:t>
      </w:r>
      <w:proofErr w:type="spellStart"/>
      <w:r>
        <w:t>приходосъбиране</w:t>
      </w:r>
      <w:proofErr w:type="spellEnd"/>
      <w:r>
        <w:t xml:space="preserve"> на Община Пловдив, като същите са отразени в съставената по-долу таблица:</w:t>
      </w:r>
    </w:p>
    <w:p w:rsidR="009640A0" w:rsidRDefault="009640A0" w:rsidP="009640A0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265978" w:rsidRPr="005D6773" w:rsidTr="00361F89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265978" w:rsidRPr="005D6773" w:rsidRDefault="00265978" w:rsidP="00361F8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265978" w:rsidRPr="005D6773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265978" w:rsidRPr="005D6773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265978" w:rsidRPr="005D6773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265978" w:rsidRPr="005D6773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30.03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30.07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1,01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2,23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29.10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3,04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27.11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2,71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28.01.2010г</w:t>
            </w:r>
            <w:r w:rsidRPr="006C663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2,56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25</w:t>
            </w:r>
            <w:r w:rsidRPr="006C663C">
              <w:rPr>
                <w:sz w:val="24"/>
                <w:szCs w:val="24"/>
                <w:lang w:val="bg-BG"/>
              </w:rPr>
              <w:t>.02.20</w:t>
            </w:r>
            <w:r>
              <w:rPr>
                <w:sz w:val="24"/>
                <w:szCs w:val="24"/>
                <w:lang w:val="bg-BG"/>
              </w:rPr>
              <w:t>10</w:t>
            </w:r>
            <w:r w:rsidRPr="006C663C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2,56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F478F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2,79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2,55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28.05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29.07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5,45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2,55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28.10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28.01.2011г.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1,91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25.02.2011г.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2,90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30.03.2011г.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28.04.2011г.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2,51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2,95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28.07.2011г.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28.10.2011г.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2,60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29.12.2011г.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2,69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30.01.2012г.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29.03.2012г.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2,59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26.04.2012г.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28.06.2012г.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2,34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30.07.2012г.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28.09.2012г.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30.10.2012г.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1,99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27.12.2012г.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30.01.2013г.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3,32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24.04.2013г.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7,33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proofErr w:type="spellStart"/>
            <w:r>
              <w:rPr>
                <w:sz w:val="24"/>
                <w:szCs w:val="24"/>
                <w:lang w:val="bg-BG"/>
              </w:rPr>
              <w:t>Сторнирана</w:t>
            </w:r>
            <w:proofErr w:type="spellEnd"/>
            <w:r w:rsidRPr="005D1554">
              <w:rPr>
                <w:sz w:val="24"/>
                <w:szCs w:val="24"/>
                <w:lang w:val="bg-BG"/>
              </w:rPr>
              <w:t xml:space="preserve"> лихв</w:t>
            </w:r>
            <w:r>
              <w:rPr>
                <w:sz w:val="24"/>
                <w:szCs w:val="24"/>
                <w:lang w:val="bg-BG"/>
              </w:rPr>
              <w:t>а</w:t>
            </w:r>
            <w:r w:rsidRPr="005D1554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26.04.2013г.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-7,33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C4C3F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07.05.2013г.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7,68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r w:rsidRPr="00FC4C3F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104,57</w:t>
            </w:r>
          </w:p>
        </w:tc>
      </w:tr>
      <w:tr w:rsidR="00265978" w:rsidRPr="005D6773" w:rsidTr="00361F89">
        <w:trPr>
          <w:jc w:val="center"/>
        </w:trPr>
        <w:tc>
          <w:tcPr>
            <w:tcW w:w="566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53.</w:t>
            </w:r>
          </w:p>
        </w:tc>
        <w:tc>
          <w:tcPr>
            <w:tcW w:w="6946" w:type="dxa"/>
            <w:gridSpan w:val="2"/>
          </w:tcPr>
          <w:p w:rsidR="00265978" w:rsidRDefault="00265978" w:rsidP="00361F8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Корекция на лихва към 03.06.2013г.</w:t>
            </w:r>
          </w:p>
        </w:tc>
        <w:tc>
          <w:tcPr>
            <w:tcW w:w="1700" w:type="dxa"/>
            <w:vAlign w:val="center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-112,25</w:t>
            </w:r>
          </w:p>
        </w:tc>
      </w:tr>
      <w:tr w:rsidR="00265978" w:rsidRPr="005D6773" w:rsidTr="00361F89">
        <w:trPr>
          <w:trHeight w:val="329"/>
          <w:jc w:val="center"/>
        </w:trPr>
        <w:tc>
          <w:tcPr>
            <w:tcW w:w="566" w:type="dxa"/>
            <w:vAlign w:val="center"/>
          </w:tcPr>
          <w:p w:rsidR="00265978" w:rsidRPr="00B75383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54.</w:t>
            </w:r>
          </w:p>
        </w:tc>
        <w:tc>
          <w:tcPr>
            <w:tcW w:w="3260" w:type="dxa"/>
            <w:vAlign w:val="center"/>
          </w:tcPr>
          <w:p w:rsidR="00265978" w:rsidRPr="00854F1E" w:rsidRDefault="00265978" w:rsidP="00361F89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265978" w:rsidRPr="00854F1E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30.03.2009 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г. </w:t>
            </w:r>
            <w:r>
              <w:rPr>
                <w:b/>
                <w:sz w:val="24"/>
                <w:szCs w:val="24"/>
                <w:lang w:val="bg-BG"/>
              </w:rPr>
              <w:t>към 03.06.2013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265978" w:rsidRPr="00854F1E" w:rsidRDefault="00265978" w:rsidP="00361F8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116,66</w:t>
            </w:r>
          </w:p>
        </w:tc>
      </w:tr>
    </w:tbl>
    <w:p w:rsidR="00265978" w:rsidRDefault="00265978" w:rsidP="00265978">
      <w:pPr>
        <w:pStyle w:val="a3"/>
        <w:tabs>
          <w:tab w:val="left" w:pos="708"/>
        </w:tabs>
        <w:ind w:firstLine="567"/>
        <w:jc w:val="both"/>
      </w:pPr>
    </w:p>
    <w:p w:rsidR="00265978" w:rsidRDefault="00265978" w:rsidP="00265978">
      <w:pPr>
        <w:pStyle w:val="a3"/>
        <w:jc w:val="both"/>
        <w:rPr>
          <w:b/>
        </w:rPr>
      </w:pPr>
    </w:p>
    <w:p w:rsidR="00265978" w:rsidRDefault="00265978" w:rsidP="00265978">
      <w:pPr>
        <w:pStyle w:val="a3"/>
        <w:jc w:val="both"/>
      </w:pPr>
      <w:r>
        <w:t xml:space="preserve">      </w:t>
      </w:r>
      <w:r>
        <w:t>Д</w:t>
      </w:r>
      <w:r>
        <w:t xml:space="preserve">о 22.07.2014г. на касата или по банковата сметка на Община Пловдив не е извършено плащане на лихви за </w:t>
      </w:r>
      <w:proofErr w:type="spellStart"/>
      <w:r>
        <w:t>просрочие</w:t>
      </w:r>
      <w:proofErr w:type="spellEnd"/>
      <w:r>
        <w:t xml:space="preserve"> от фирма ЕТ „Здравко </w:t>
      </w:r>
      <w:proofErr w:type="spellStart"/>
      <w:r>
        <w:t>Арменков</w:t>
      </w:r>
      <w:proofErr w:type="spellEnd"/>
      <w:r>
        <w:t>“ с ЕИК 115686556.</w:t>
      </w:r>
    </w:p>
    <w:p w:rsidR="00D0106A" w:rsidRDefault="00D0106A" w:rsidP="00D0106A">
      <w:pPr>
        <w:pStyle w:val="a3"/>
        <w:jc w:val="both"/>
      </w:pPr>
    </w:p>
    <w:p w:rsidR="00265978" w:rsidRDefault="00FF520B" w:rsidP="00265978">
      <w:pPr>
        <w:pStyle w:val="a3"/>
        <w:jc w:val="both"/>
      </w:pPr>
      <w:r>
        <w:rPr>
          <w:b/>
        </w:rPr>
        <w:t xml:space="preserve">           </w:t>
      </w:r>
      <w:r w:rsidR="00265978">
        <w:t>Предвид  гореизложеното</w:t>
      </w:r>
      <w:r w:rsidR="00265978">
        <w:t>, з</w:t>
      </w:r>
      <w:r w:rsidR="00265978" w:rsidRPr="00DC4DCB">
        <w:t xml:space="preserve">адълженията на </w:t>
      </w:r>
      <w:r w:rsidR="00265978">
        <w:rPr>
          <w:b/>
        </w:rPr>
        <w:t>ЕТ „ЗДРАВКО АРМЕНКОВ” с</w:t>
      </w:r>
      <w:r w:rsidR="00265978" w:rsidRPr="00F82C7D">
        <w:rPr>
          <w:b/>
        </w:rPr>
        <w:t xml:space="preserve"> </w:t>
      </w:r>
      <w:r w:rsidR="00265978">
        <w:rPr>
          <w:b/>
        </w:rPr>
        <w:t>ЕИК</w:t>
      </w:r>
      <w:r w:rsidR="00265978" w:rsidRPr="00F82C7D">
        <w:rPr>
          <w:b/>
        </w:rPr>
        <w:t xml:space="preserve"> </w:t>
      </w:r>
      <w:r w:rsidR="00265978">
        <w:rPr>
          <w:b/>
        </w:rPr>
        <w:t>115686556</w:t>
      </w:r>
      <w:r w:rsidR="00265978" w:rsidRPr="00F82C7D">
        <w:rPr>
          <w:b/>
        </w:rPr>
        <w:t>, със седалище и адрес на управление: гр. Пловдив 400</w:t>
      </w:r>
      <w:r w:rsidR="00265978">
        <w:rPr>
          <w:b/>
        </w:rPr>
        <w:t>0</w:t>
      </w:r>
      <w:r w:rsidR="00265978" w:rsidRPr="00F82C7D">
        <w:rPr>
          <w:b/>
        </w:rPr>
        <w:t>, район „</w:t>
      </w:r>
      <w:r w:rsidR="00265978">
        <w:rPr>
          <w:b/>
        </w:rPr>
        <w:t>Северен</w:t>
      </w:r>
      <w:r w:rsidR="00265978" w:rsidRPr="00F82C7D">
        <w:rPr>
          <w:b/>
        </w:rPr>
        <w:t xml:space="preserve">”, </w:t>
      </w:r>
      <w:r w:rsidR="00265978">
        <w:rPr>
          <w:b/>
        </w:rPr>
        <w:t>б</w:t>
      </w:r>
      <w:r w:rsidR="00265978" w:rsidRPr="00F82C7D">
        <w:rPr>
          <w:b/>
        </w:rPr>
        <w:t>ул. „</w:t>
      </w:r>
      <w:r w:rsidR="00265978">
        <w:rPr>
          <w:b/>
        </w:rPr>
        <w:t>България</w:t>
      </w:r>
      <w:r w:rsidR="00265978" w:rsidRPr="00F82C7D">
        <w:rPr>
          <w:b/>
        </w:rPr>
        <w:t xml:space="preserve">” № </w:t>
      </w:r>
      <w:r w:rsidR="00265978">
        <w:rPr>
          <w:b/>
        </w:rPr>
        <w:t xml:space="preserve">82, ет. 4, ап. 43, представлявано от собственика Здравко Ангелов </w:t>
      </w:r>
      <w:proofErr w:type="spellStart"/>
      <w:r w:rsidR="00265978">
        <w:rPr>
          <w:b/>
        </w:rPr>
        <w:t>Арменков</w:t>
      </w:r>
      <w:proofErr w:type="spellEnd"/>
      <w:r w:rsidR="00265978">
        <w:rPr>
          <w:b/>
        </w:rPr>
        <w:t xml:space="preserve"> по чл. 72 от ЗМДТ</w:t>
      </w:r>
      <w:r w:rsidR="00265978" w:rsidRPr="00DC4DCB">
        <w:t xml:space="preserve"> за </w:t>
      </w:r>
      <w:r w:rsidR="00265978" w:rsidRPr="00D515BE">
        <w:rPr>
          <w:i/>
        </w:rPr>
        <w:t>такса</w:t>
      </w:r>
      <w:r w:rsidR="00265978" w:rsidRPr="00DC4DCB">
        <w:t xml:space="preserve"> за ползване на тротоари, площади, улични платна, </w:t>
      </w:r>
      <w:r w:rsidR="00265978">
        <w:t xml:space="preserve">места, върху които са организирани пазари, </w:t>
      </w:r>
      <w:r w:rsidR="00265978" w:rsidRPr="00DC4DCB">
        <w:t>панаири</w:t>
      </w:r>
      <w:r w:rsidR="00265978">
        <w:t>, както</w:t>
      </w:r>
      <w:r w:rsidR="00265978" w:rsidRPr="00DC4DCB">
        <w:t xml:space="preserve"> и терени с друго предназначение и  </w:t>
      </w:r>
      <w:r w:rsidR="00265978" w:rsidRPr="00D515BE">
        <w:rPr>
          <w:i/>
        </w:rPr>
        <w:t>лихви</w:t>
      </w:r>
      <w:r w:rsidR="00265978">
        <w:t xml:space="preserve"> за </w:t>
      </w:r>
      <w:proofErr w:type="spellStart"/>
      <w:r w:rsidR="00265978">
        <w:t>просрочие</w:t>
      </w:r>
      <w:proofErr w:type="spellEnd"/>
      <w:r w:rsidR="00265978">
        <w:t xml:space="preserve"> на плащането, </w:t>
      </w:r>
      <w:r w:rsidR="00265978" w:rsidRPr="00F04314">
        <w:t>дължими на основание чл. 4, ал.2 във връзка с чл. 9б от ЗМДТ</w:t>
      </w:r>
      <w:r w:rsidR="00265978">
        <w:t xml:space="preserve">, </w:t>
      </w:r>
      <w:r w:rsidR="00265978" w:rsidRPr="00DC4DCB">
        <w:t xml:space="preserve">за ползван имот </w:t>
      </w:r>
      <w:r w:rsidR="00265978">
        <w:t xml:space="preserve">общинска собственост </w:t>
      </w:r>
      <w:r w:rsidR="00265978" w:rsidRPr="00DC4DCB">
        <w:t xml:space="preserve">с площ </w:t>
      </w:r>
      <w:r w:rsidR="00265978">
        <w:t>3,00 кв.м</w:t>
      </w:r>
      <w:r w:rsidR="00265978" w:rsidRPr="00DC4DCB">
        <w:t xml:space="preserve"> за разполагане на </w:t>
      </w:r>
      <w:proofErr w:type="spellStart"/>
      <w:r w:rsidR="00265978">
        <w:lastRenderedPageBreak/>
        <w:t>преместваемо</w:t>
      </w:r>
      <w:proofErr w:type="spellEnd"/>
      <w:r w:rsidR="00265978">
        <w:t xml:space="preserve"> съоръжение за търговия с бижутерия</w:t>
      </w:r>
      <w:r w:rsidR="00265978" w:rsidRPr="00DC4DCB">
        <w:t xml:space="preserve">, </w:t>
      </w:r>
      <w:proofErr w:type="spellStart"/>
      <w:r w:rsidR="00265978" w:rsidRPr="00DC4DCB">
        <w:t>находящ</w:t>
      </w:r>
      <w:proofErr w:type="spellEnd"/>
      <w:r w:rsidR="00265978" w:rsidRPr="00DC4DCB">
        <w:t xml:space="preserve"> се в гр. Пловдив, </w:t>
      </w:r>
      <w:r w:rsidR="00265978">
        <w:t>п</w:t>
      </w:r>
      <w:r w:rsidR="00265978" w:rsidRPr="00DC4DCB">
        <w:t>л. „</w:t>
      </w:r>
      <w:proofErr w:type="spellStart"/>
      <w:r w:rsidR="00265978">
        <w:t>Джумая</w:t>
      </w:r>
      <w:proofErr w:type="spellEnd"/>
      <w:r w:rsidR="00265978" w:rsidRPr="00DC4DCB">
        <w:t>”</w:t>
      </w:r>
      <w:r w:rsidR="00265978">
        <w:t xml:space="preserve"> </w:t>
      </w:r>
      <w:r w:rsidR="00265978">
        <w:t>(старо име),  място</w:t>
      </w:r>
      <w:r w:rsidR="00265978" w:rsidRPr="00DC4DCB">
        <w:t xml:space="preserve"> №</w:t>
      </w:r>
      <w:r w:rsidR="00265978">
        <w:t>54,</w:t>
      </w:r>
      <w:r w:rsidR="00265978" w:rsidRPr="00DC4DCB">
        <w:t xml:space="preserve"> са както следва:</w:t>
      </w:r>
    </w:p>
    <w:p w:rsidR="00FF520B" w:rsidRDefault="00FF520B" w:rsidP="00FF520B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265978" w:rsidRPr="00E32D49" w:rsidRDefault="00265978" w:rsidP="00361F8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лева </w:t>
            </w:r>
          </w:p>
        </w:tc>
      </w:tr>
      <w:tr w:rsidR="00265978" w:rsidTr="00361F8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265978" w:rsidRDefault="00265978" w:rsidP="00361F8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265978" w:rsidRPr="00756A79" w:rsidRDefault="00265978" w:rsidP="00361F8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265978" w:rsidRPr="00756A79" w:rsidRDefault="00265978" w:rsidP="00361F8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9C6B2D">
              <w:rPr>
                <w:sz w:val="24"/>
                <w:szCs w:val="24"/>
              </w:rPr>
              <w:t>Такса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за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ползване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на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пазари</w:t>
            </w:r>
            <w:proofErr w:type="spellEnd"/>
            <w:r w:rsidRPr="009C6B2D">
              <w:rPr>
                <w:sz w:val="24"/>
                <w:szCs w:val="24"/>
              </w:rPr>
              <w:t xml:space="preserve">, </w:t>
            </w:r>
            <w:proofErr w:type="spellStart"/>
            <w:r w:rsidRPr="009C6B2D">
              <w:rPr>
                <w:sz w:val="24"/>
                <w:szCs w:val="24"/>
              </w:rPr>
              <w:t>тържища</w:t>
            </w:r>
            <w:proofErr w:type="spellEnd"/>
            <w:r w:rsidRPr="009C6B2D">
              <w:rPr>
                <w:sz w:val="24"/>
                <w:szCs w:val="24"/>
              </w:rPr>
              <w:t xml:space="preserve"> и </w:t>
            </w:r>
            <w:proofErr w:type="spellStart"/>
            <w:r w:rsidRPr="009C6B2D">
              <w:rPr>
                <w:sz w:val="24"/>
                <w:szCs w:val="24"/>
              </w:rPr>
              <w:t>други</w:t>
            </w:r>
            <w:proofErr w:type="spellEnd"/>
            <w:r w:rsidRPr="009C6B2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265978" w:rsidRPr="00EB6EA2" w:rsidRDefault="00265978" w:rsidP="0036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просрачие</w:t>
            </w:r>
            <w:proofErr w:type="spellEnd"/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30.03.2009г. 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03.06.2013г.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726E69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116,66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265978" w:rsidRPr="00E32D49" w:rsidRDefault="00265978" w:rsidP="00361F8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Align w:val="center"/>
          </w:tcPr>
          <w:p w:rsidR="00265978" w:rsidRPr="00E32D49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Главница – 300,00 лв. + лихва – 116,66лв.</w:t>
            </w:r>
          </w:p>
        </w:tc>
      </w:tr>
    </w:tbl>
    <w:p w:rsidR="00FF520B" w:rsidRDefault="00FF520B" w:rsidP="00FF520B">
      <w:pPr>
        <w:pStyle w:val="a3"/>
        <w:jc w:val="both"/>
      </w:pPr>
      <w:r>
        <w:t xml:space="preserve">         </w:t>
      </w:r>
    </w:p>
    <w:p w:rsidR="00436AA9" w:rsidRDefault="002662EE" w:rsidP="00A82A7D">
      <w:pPr>
        <w:pStyle w:val="a3"/>
        <w:jc w:val="both"/>
      </w:pPr>
      <w:r>
        <w:t xml:space="preserve">   </w:t>
      </w:r>
      <w:r w:rsidR="00436AA9">
        <w:t xml:space="preserve">   С оглед установяване на горното е извършена проверка в </w:t>
      </w:r>
      <w:r w:rsidR="004E63CF">
        <w:t xml:space="preserve">регистър  Разрешение за </w:t>
      </w:r>
      <w:r w:rsidR="00D0106A">
        <w:t>терен за търговия</w:t>
      </w:r>
      <w:r w:rsidR="004E63CF">
        <w:t xml:space="preserve"> на финансово-счетоводната програма „</w:t>
      </w:r>
      <w:r w:rsidR="004E63CF">
        <w:rPr>
          <w:szCs w:val="24"/>
        </w:rPr>
        <w:t>Отчитане на приходите от стопанска дейност на</w:t>
      </w:r>
      <w:r w:rsidR="00FF520B">
        <w:t xml:space="preserve"> О</w:t>
      </w:r>
      <w:r w:rsidR="004E63CF">
        <w:rPr>
          <w:szCs w:val="24"/>
        </w:rPr>
        <w:t>бщина Пловдив”</w:t>
      </w:r>
      <w:r w:rsidR="004E63CF">
        <w:t>,</w:t>
      </w:r>
      <w:r w:rsidR="00FF520B">
        <w:t xml:space="preserve"> </w:t>
      </w:r>
      <w:r w:rsidR="004E63CF">
        <w:t>обслужван от Дирекция</w:t>
      </w:r>
      <w:r w:rsidR="00265978">
        <w:t xml:space="preserve"> </w:t>
      </w:r>
      <w:r w:rsidR="004E63CF">
        <w:t xml:space="preserve">“Общинска икономика и здравеопазване” </w:t>
      </w:r>
      <w:r w:rsidR="00171246">
        <w:t>при о</w:t>
      </w:r>
      <w:r w:rsidR="00436AA9">
        <w:t>бщина Пловдив</w:t>
      </w:r>
      <w:r w:rsidR="00D0106A">
        <w:t xml:space="preserve"> </w:t>
      </w:r>
      <w:r w:rsidR="00436AA9">
        <w:t xml:space="preserve">за периода от </w:t>
      </w:r>
      <w:r w:rsidR="007374E5">
        <w:t>01.</w:t>
      </w:r>
      <w:r w:rsidR="00265978">
        <w:t>02.2009</w:t>
      </w:r>
      <w:r w:rsidR="007F32F2">
        <w:t xml:space="preserve">г. до </w:t>
      </w:r>
      <w:r w:rsidR="00265978">
        <w:t>22.07</w:t>
      </w:r>
      <w:r w:rsidR="00FF520B">
        <w:t>.2014</w:t>
      </w:r>
      <w:r w:rsidR="00436AA9">
        <w:t xml:space="preserve">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>Z1</w:t>
      </w:r>
      <w:r w:rsidR="0081744B">
        <w:t xml:space="preserve"> </w:t>
      </w:r>
      <w:r w:rsidR="00A90C5C">
        <w:rPr>
          <w:lang w:val="en-US"/>
        </w:rPr>
        <w:t>-</w:t>
      </w:r>
      <w:r w:rsidR="0081744B">
        <w:t xml:space="preserve"> </w:t>
      </w:r>
      <w:r w:rsidR="00265978">
        <w:t>6866</w:t>
      </w:r>
      <w:r w:rsidR="007F32F2" w:rsidRPr="009640A0">
        <w:t xml:space="preserve"> / </w:t>
      </w:r>
      <w:r w:rsidR="00265978">
        <w:t>22.07</w:t>
      </w:r>
      <w:r w:rsidR="00FF520B">
        <w:t>.2014</w:t>
      </w:r>
      <w:r w:rsidR="00436AA9" w:rsidRPr="009640A0">
        <w:t xml:space="preserve"> г.</w:t>
      </w:r>
    </w:p>
    <w:p w:rsidR="00B041B3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</w:t>
      </w:r>
    </w:p>
    <w:p w:rsidR="00436AA9" w:rsidRPr="00EF6B12" w:rsidRDefault="00B041B3" w:rsidP="00A82A7D">
      <w:pPr>
        <w:pStyle w:val="a3"/>
        <w:jc w:val="both"/>
        <w:rPr>
          <w:b/>
        </w:rPr>
      </w:pPr>
      <w:r w:rsidRPr="00EF6B12">
        <w:rPr>
          <w:b/>
        </w:rPr>
        <w:t xml:space="preserve">       </w:t>
      </w:r>
      <w:r w:rsidR="00436AA9" w:rsidRPr="00EF6B12">
        <w:rPr>
          <w:b/>
        </w:rPr>
        <w:t>Предвид изложеното</w:t>
      </w:r>
      <w:r w:rsidR="008A5DEE" w:rsidRPr="00EF6B12">
        <w:rPr>
          <w:b/>
        </w:rPr>
        <w:t>,</w:t>
      </w:r>
      <w:r w:rsidR="00436AA9" w:rsidRPr="00EF6B12">
        <w:rPr>
          <w:b/>
        </w:rPr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EF6B12" w:rsidRDefault="00EF6B12" w:rsidP="00A82A7D">
      <w:pPr>
        <w:pStyle w:val="a3"/>
        <w:jc w:val="both"/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EF6B12" w:rsidRPr="005E5875" w:rsidRDefault="00EF6B12" w:rsidP="0045200B">
      <w:pPr>
        <w:pStyle w:val="a3"/>
        <w:jc w:val="center"/>
        <w:rPr>
          <w:b/>
        </w:rPr>
      </w:pPr>
    </w:p>
    <w:p w:rsidR="00D50525" w:rsidRDefault="00D50525" w:rsidP="00D50525">
      <w:pPr>
        <w:pStyle w:val="a3"/>
        <w:ind w:firstLine="567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>
        <w:t xml:space="preserve">по чл. 72 от ЗМДТ </w:t>
      </w:r>
      <w:r w:rsidRPr="005E5875">
        <w:t xml:space="preserve">за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</w:t>
      </w:r>
      <w:proofErr w:type="spellStart"/>
      <w:r>
        <w:t>просрочие</w:t>
      </w:r>
      <w:proofErr w:type="spellEnd"/>
      <w:r>
        <w:t xml:space="preserve"> към тях, осчетоводени към 03.06.2013 г., които </w:t>
      </w:r>
      <w:r w:rsidR="00265978">
        <w:rPr>
          <w:b/>
        </w:rPr>
        <w:t>ЕТ „ЗДРАВКО АРМЕНКОВ” с</w:t>
      </w:r>
      <w:r w:rsidR="00265978" w:rsidRPr="00F82C7D">
        <w:rPr>
          <w:b/>
        </w:rPr>
        <w:t xml:space="preserve"> </w:t>
      </w:r>
      <w:r w:rsidR="00265978">
        <w:rPr>
          <w:b/>
        </w:rPr>
        <w:t>ЕИК</w:t>
      </w:r>
      <w:r w:rsidR="00265978" w:rsidRPr="00F82C7D">
        <w:rPr>
          <w:b/>
        </w:rPr>
        <w:t xml:space="preserve"> </w:t>
      </w:r>
      <w:r w:rsidR="00265978">
        <w:rPr>
          <w:b/>
        </w:rPr>
        <w:t>115686556</w:t>
      </w:r>
      <w:r w:rsidR="00265978" w:rsidRPr="00F82C7D">
        <w:rPr>
          <w:b/>
        </w:rPr>
        <w:t>, със седалище и адрес на управление: гр. Пловдив 400</w:t>
      </w:r>
      <w:r w:rsidR="00265978">
        <w:rPr>
          <w:b/>
        </w:rPr>
        <w:t>0</w:t>
      </w:r>
      <w:r w:rsidR="00265978" w:rsidRPr="00F82C7D">
        <w:rPr>
          <w:b/>
        </w:rPr>
        <w:t>, район „</w:t>
      </w:r>
      <w:r w:rsidR="00265978">
        <w:rPr>
          <w:b/>
        </w:rPr>
        <w:t>Северен</w:t>
      </w:r>
      <w:r w:rsidR="00265978" w:rsidRPr="00F82C7D">
        <w:rPr>
          <w:b/>
        </w:rPr>
        <w:t xml:space="preserve">”, </w:t>
      </w:r>
      <w:r w:rsidR="00265978">
        <w:rPr>
          <w:b/>
        </w:rPr>
        <w:t>б</w:t>
      </w:r>
      <w:r w:rsidR="00265978" w:rsidRPr="00F82C7D">
        <w:rPr>
          <w:b/>
        </w:rPr>
        <w:t>ул. „</w:t>
      </w:r>
      <w:r w:rsidR="00265978">
        <w:rPr>
          <w:b/>
        </w:rPr>
        <w:t>България</w:t>
      </w:r>
      <w:r w:rsidR="00265978" w:rsidRPr="00F82C7D">
        <w:rPr>
          <w:b/>
        </w:rPr>
        <w:t xml:space="preserve">” № </w:t>
      </w:r>
      <w:r w:rsidR="00265978">
        <w:rPr>
          <w:b/>
        </w:rPr>
        <w:t xml:space="preserve">82, ет. 4, ап. 43, представлявано от собственика Здравко Ангелов </w:t>
      </w:r>
      <w:proofErr w:type="spellStart"/>
      <w:r w:rsidR="00265978">
        <w:rPr>
          <w:b/>
        </w:rPr>
        <w:t>Арменков</w:t>
      </w:r>
      <w:proofErr w:type="spellEnd"/>
      <w:r>
        <w:rPr>
          <w:b/>
        </w:rPr>
        <w:t xml:space="preserve">, </w:t>
      </w:r>
      <w:r>
        <w:t>като</w:t>
      </w:r>
      <w:r w:rsidRPr="00A3222E">
        <w:t xml:space="preserve"> ползвател на общински имот </w:t>
      </w:r>
      <w:r>
        <w:t xml:space="preserve">за търговска дейност, чрез разполагане на мобилен </w:t>
      </w:r>
      <w:proofErr w:type="spellStart"/>
      <w:r>
        <w:t>преместваем</w:t>
      </w:r>
      <w:proofErr w:type="spellEnd"/>
      <w:r>
        <w:t xml:space="preserve"> обект – статив за търговия </w:t>
      </w:r>
      <w:r w:rsidR="00265978">
        <w:t>с бижутерия</w:t>
      </w:r>
      <w:r>
        <w:t>,</w:t>
      </w:r>
      <w:r w:rsidRPr="005E5875">
        <w:t xml:space="preserve"> </w:t>
      </w:r>
      <w:r>
        <w:t xml:space="preserve">следва да </w:t>
      </w:r>
      <w:r w:rsidRPr="00D50525">
        <w:rPr>
          <w:b/>
          <w:i/>
        </w:rPr>
        <w:t>внесе</w:t>
      </w:r>
      <w:r>
        <w:t xml:space="preserve"> са посочени в съставената по – долу таблица:</w:t>
      </w:r>
    </w:p>
    <w:p w:rsidR="004E63CF" w:rsidRDefault="004E63CF" w:rsidP="003F1390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265978" w:rsidRPr="00E32D49" w:rsidRDefault="00265978" w:rsidP="00361F8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265978" w:rsidRPr="00E32D49" w:rsidRDefault="00265978" w:rsidP="00361F8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лева </w:t>
            </w:r>
          </w:p>
        </w:tc>
      </w:tr>
      <w:tr w:rsidR="00265978" w:rsidTr="00361F8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265978" w:rsidRDefault="00265978" w:rsidP="00361F8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265978" w:rsidRDefault="00265978" w:rsidP="00361F89">
            <w:pPr>
              <w:jc w:val="center"/>
              <w:rPr>
                <w:b/>
                <w:lang w:val="bg-BG"/>
              </w:rPr>
            </w:pP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265978" w:rsidRPr="00756A79" w:rsidRDefault="00265978" w:rsidP="00361F8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3671" w:type="dxa"/>
          </w:tcPr>
          <w:p w:rsidR="00265978" w:rsidRPr="00756A79" w:rsidRDefault="00265978" w:rsidP="00361F8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9C6B2D">
              <w:rPr>
                <w:sz w:val="24"/>
                <w:szCs w:val="24"/>
              </w:rPr>
              <w:t>Такса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за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ползване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на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пазари</w:t>
            </w:r>
            <w:proofErr w:type="spellEnd"/>
            <w:r w:rsidRPr="009C6B2D">
              <w:rPr>
                <w:sz w:val="24"/>
                <w:szCs w:val="24"/>
              </w:rPr>
              <w:t xml:space="preserve">, </w:t>
            </w:r>
            <w:proofErr w:type="spellStart"/>
            <w:r w:rsidRPr="009C6B2D">
              <w:rPr>
                <w:sz w:val="24"/>
                <w:szCs w:val="24"/>
              </w:rPr>
              <w:t>тържища</w:t>
            </w:r>
            <w:proofErr w:type="spellEnd"/>
            <w:r w:rsidRPr="009C6B2D">
              <w:rPr>
                <w:sz w:val="24"/>
                <w:szCs w:val="24"/>
              </w:rPr>
              <w:t xml:space="preserve"> и </w:t>
            </w:r>
            <w:proofErr w:type="spellStart"/>
            <w:r w:rsidRPr="009C6B2D">
              <w:rPr>
                <w:sz w:val="24"/>
                <w:szCs w:val="24"/>
              </w:rPr>
              <w:t>други</w:t>
            </w:r>
            <w:proofErr w:type="spellEnd"/>
            <w:r w:rsidRPr="009C6B2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265978" w:rsidRDefault="00265978" w:rsidP="00361F8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37,50</w:t>
            </w:r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265978" w:rsidRPr="00EB6EA2" w:rsidRDefault="00265978" w:rsidP="00361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просрачие</w:t>
            </w:r>
            <w:proofErr w:type="spellEnd"/>
          </w:p>
        </w:tc>
        <w:tc>
          <w:tcPr>
            <w:tcW w:w="2127" w:type="dxa"/>
            <w:vAlign w:val="center"/>
          </w:tcPr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30.03.2009г. </w:t>
            </w:r>
          </w:p>
          <w:p w:rsidR="00265978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03.06.2013г.</w:t>
            </w:r>
          </w:p>
        </w:tc>
        <w:tc>
          <w:tcPr>
            <w:tcW w:w="2462" w:type="dxa"/>
          </w:tcPr>
          <w:p w:rsidR="00265978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265978" w:rsidRDefault="00726E69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116,66</w:t>
            </w:r>
            <w:bookmarkStart w:id="0" w:name="_GoBack"/>
            <w:bookmarkEnd w:id="0"/>
          </w:p>
        </w:tc>
      </w:tr>
      <w:tr w:rsidR="00265978" w:rsidRPr="00E32D49" w:rsidTr="00361F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265978" w:rsidRPr="007F7F68" w:rsidRDefault="00265978" w:rsidP="00361F8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265978" w:rsidRPr="00E32D49" w:rsidRDefault="00265978" w:rsidP="00361F8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265978" w:rsidRPr="00E32D49" w:rsidRDefault="00265978" w:rsidP="00361F8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Align w:val="center"/>
          </w:tcPr>
          <w:p w:rsidR="00265978" w:rsidRPr="00E32D49" w:rsidRDefault="00265978" w:rsidP="00361F8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Главница – 300,00 лв. + лихва – 116,66лв.</w:t>
            </w:r>
          </w:p>
        </w:tc>
      </w:tr>
    </w:tbl>
    <w:p w:rsidR="00265978" w:rsidRDefault="00265978" w:rsidP="003F1390">
      <w:pPr>
        <w:pStyle w:val="a3"/>
        <w:jc w:val="both"/>
      </w:pPr>
    </w:p>
    <w:p w:rsidR="00D50525" w:rsidRDefault="00D50525" w:rsidP="00D50525">
      <w:pPr>
        <w:pStyle w:val="a3"/>
        <w:ind w:left="-284" w:firstLine="426"/>
        <w:jc w:val="both"/>
      </w:pPr>
      <w:r w:rsidRPr="005E5875">
        <w:t xml:space="preserve">Установените с настоящия акт задължения за </w:t>
      </w:r>
      <w:r w:rsidR="00265978">
        <w:t>плащане</w:t>
      </w:r>
      <w:r>
        <w:t xml:space="preserve"> </w:t>
      </w:r>
      <w:r w:rsidR="00265978">
        <w:t>з</w:t>
      </w:r>
      <w:r>
        <w:t xml:space="preserve">а такса по чл. 72 от ЗМДТ за </w:t>
      </w:r>
      <w:r w:rsidRPr="003A1AF5">
        <w:rPr>
          <w:szCs w:val="24"/>
        </w:rPr>
        <w:t xml:space="preserve"> полз</w:t>
      </w:r>
      <w:r>
        <w:rPr>
          <w:szCs w:val="24"/>
        </w:rPr>
        <w:t>ване на пазари, тържища, тротоари, площади, улични платна, панаири и терени с друго предназначение общо в</w:t>
      </w:r>
      <w:r w:rsidRPr="003A1AF5">
        <w:t xml:space="preserve"> размер на </w:t>
      </w:r>
      <w:r w:rsidR="00265978">
        <w:rPr>
          <w:b/>
        </w:rPr>
        <w:t>416,66</w:t>
      </w:r>
      <w:r w:rsidR="00265978" w:rsidRPr="00664BD6">
        <w:rPr>
          <w:b/>
        </w:rPr>
        <w:t xml:space="preserve"> лв. (</w:t>
      </w:r>
      <w:r w:rsidR="00265978">
        <w:rPr>
          <w:b/>
        </w:rPr>
        <w:t>четиристотин</w:t>
      </w:r>
      <w:r w:rsidR="00265978" w:rsidRPr="00664BD6">
        <w:rPr>
          <w:b/>
        </w:rPr>
        <w:t xml:space="preserve"> и </w:t>
      </w:r>
      <w:r w:rsidR="00265978">
        <w:rPr>
          <w:b/>
        </w:rPr>
        <w:t>шестнадесет</w:t>
      </w:r>
      <w:r w:rsidR="00265978" w:rsidRPr="00664BD6">
        <w:rPr>
          <w:b/>
        </w:rPr>
        <w:t xml:space="preserve"> лева и </w:t>
      </w:r>
      <w:r w:rsidR="00265978">
        <w:rPr>
          <w:b/>
        </w:rPr>
        <w:t>шестдесет и шест</w:t>
      </w:r>
      <w:r w:rsidR="00265978" w:rsidRPr="00664BD6">
        <w:rPr>
          <w:b/>
        </w:rPr>
        <w:t xml:space="preserve"> стотинки), в т.ч. такси –  </w:t>
      </w:r>
      <w:r w:rsidR="00265978">
        <w:rPr>
          <w:b/>
        </w:rPr>
        <w:t>300</w:t>
      </w:r>
      <w:r w:rsidR="00265978" w:rsidRPr="00664BD6">
        <w:rPr>
          <w:b/>
        </w:rPr>
        <w:t>,00 лв. (</w:t>
      </w:r>
      <w:r w:rsidR="00265978">
        <w:rPr>
          <w:b/>
        </w:rPr>
        <w:t xml:space="preserve">триста </w:t>
      </w:r>
      <w:r w:rsidR="00265978" w:rsidRPr="00664BD6">
        <w:rPr>
          <w:b/>
        </w:rPr>
        <w:t xml:space="preserve">лева и </w:t>
      </w:r>
      <w:r w:rsidR="00265978">
        <w:rPr>
          <w:b/>
        </w:rPr>
        <w:t>нула</w:t>
      </w:r>
      <w:r w:rsidR="00265978" w:rsidRPr="00664BD6">
        <w:rPr>
          <w:b/>
        </w:rPr>
        <w:t xml:space="preserve"> стотинки) и лихви, </w:t>
      </w:r>
      <w:r w:rsidR="00265978">
        <w:rPr>
          <w:b/>
        </w:rPr>
        <w:t>дължими на основание</w:t>
      </w:r>
      <w:r w:rsidR="00265978" w:rsidRPr="00664BD6">
        <w:rPr>
          <w:b/>
        </w:rPr>
        <w:t xml:space="preserve"> чл. 4, ал.2 във връзка с чл. 9б от ЗМДТ</w:t>
      </w:r>
      <w:r w:rsidR="00265978">
        <w:rPr>
          <w:b/>
        </w:rPr>
        <w:t>,</w:t>
      </w:r>
      <w:r w:rsidR="00265978" w:rsidRPr="00664BD6">
        <w:rPr>
          <w:b/>
        </w:rPr>
        <w:t xml:space="preserve"> в  размер на  – </w:t>
      </w:r>
      <w:r w:rsidR="00265978">
        <w:rPr>
          <w:b/>
        </w:rPr>
        <w:t>116,66</w:t>
      </w:r>
      <w:r w:rsidR="00265978" w:rsidRPr="00664BD6">
        <w:rPr>
          <w:b/>
        </w:rPr>
        <w:t xml:space="preserve"> лв. (</w:t>
      </w:r>
      <w:r w:rsidR="00265978">
        <w:rPr>
          <w:b/>
        </w:rPr>
        <w:t>сто и шестнадесет</w:t>
      </w:r>
      <w:r w:rsidR="00265978" w:rsidRPr="00664BD6">
        <w:rPr>
          <w:b/>
        </w:rPr>
        <w:t xml:space="preserve"> лева и </w:t>
      </w:r>
      <w:r w:rsidR="00265978">
        <w:rPr>
          <w:b/>
        </w:rPr>
        <w:t>шестдесет и шест</w:t>
      </w:r>
      <w:r w:rsidR="00265978" w:rsidRPr="00664BD6">
        <w:rPr>
          <w:b/>
        </w:rPr>
        <w:t xml:space="preserve"> стотинки)</w:t>
      </w:r>
      <w:r>
        <w:rPr>
          <w:b/>
          <w:i/>
        </w:rPr>
        <w:t xml:space="preserve">, </w:t>
      </w:r>
      <w:r w:rsidRPr="005E5875">
        <w:t>следва да бъдат внесени</w:t>
      </w:r>
      <w:r>
        <w:t xml:space="preserve"> в </w:t>
      </w:r>
      <w:r w:rsidRPr="00EB1145">
        <w:rPr>
          <w:b/>
        </w:rPr>
        <w:t>брой</w:t>
      </w:r>
      <w:r>
        <w:t xml:space="preserve"> в касата на Община Пловдив или по </w:t>
      </w:r>
      <w:r w:rsidRPr="00EB1145">
        <w:rPr>
          <w:b/>
        </w:rPr>
        <w:t>банкова сметка</w:t>
      </w:r>
      <w:r>
        <w:t xml:space="preserve">, </w:t>
      </w:r>
      <w:r w:rsidRPr="005E5875">
        <w:t>както следва:</w:t>
      </w:r>
    </w:p>
    <w:p w:rsidR="00EF6B12" w:rsidRDefault="00EF6B12" w:rsidP="00A82A7D">
      <w:pPr>
        <w:pStyle w:val="a3"/>
        <w:ind w:left="-283"/>
        <w:jc w:val="both"/>
      </w:pP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265978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="00D50525">
              <w:rPr>
                <w:b/>
                <w:sz w:val="22"/>
                <w:szCs w:val="22"/>
                <w:lang w:val="bg-BG"/>
              </w:rPr>
              <w:t>00,00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A93E44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265978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116,66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EF6B12" w:rsidRDefault="00EF6B12" w:rsidP="00A82A7D">
      <w:pPr>
        <w:pStyle w:val="a3"/>
        <w:jc w:val="both"/>
      </w:pPr>
    </w:p>
    <w:p w:rsidR="003A1AF5" w:rsidRDefault="00EF6B12" w:rsidP="00A82A7D">
      <w:pPr>
        <w:pStyle w:val="a3"/>
        <w:jc w:val="both"/>
        <w:rPr>
          <w:b/>
        </w:rPr>
      </w:pPr>
      <w:r>
        <w:t xml:space="preserve">     </w:t>
      </w:r>
      <w:r w:rsidR="00154534">
        <w:t>По посочен</w:t>
      </w:r>
      <w:r w:rsidR="003C4F7A">
        <w:t>и</w:t>
      </w:r>
      <w:r w:rsidR="00EA1EA4">
        <w:t>т</w:t>
      </w:r>
      <w:r w:rsidR="003C4F7A">
        <w:t>е</w:t>
      </w:r>
      <w:r w:rsidR="003A1AF5">
        <w:t xml:space="preserve"> банков</w:t>
      </w:r>
      <w:r w:rsidR="003C4F7A">
        <w:t>и</w:t>
      </w:r>
      <w:r w:rsidR="00154534">
        <w:t xml:space="preserve"> сметк</w:t>
      </w:r>
      <w:r w:rsidR="003C4F7A">
        <w:t>и</w:t>
      </w:r>
      <w:r w:rsidR="003A1AF5">
        <w:t xml:space="preserve"> 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</w:t>
      </w:r>
      <w:r w:rsidR="004E2FCC">
        <w:t xml:space="preserve"> на цялото задължение</w:t>
      </w:r>
      <w:r w:rsidR="00154534">
        <w:t>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D50525">
      <w:pPr>
        <w:pStyle w:val="a3"/>
        <w:tabs>
          <w:tab w:val="clear" w:pos="9072"/>
          <w:tab w:val="right" w:pos="9498"/>
        </w:tabs>
        <w:ind w:firstLine="284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 w:rsidR="008A47C8">
        <w:t>К</w:t>
      </w:r>
      <w:r>
        <w:t xml:space="preserve">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D50525">
      <w:pPr>
        <w:pStyle w:val="a3"/>
        <w:tabs>
          <w:tab w:val="clear" w:pos="9072"/>
          <w:tab w:val="right" w:pos="9498"/>
        </w:tabs>
        <w:ind w:left="-142" w:firstLine="426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3C4F7A">
        <w:t>ЕТ „</w:t>
      </w:r>
      <w:r w:rsidR="00265978">
        <w:t>ЗДРАВКО АРМЕНКОВ</w:t>
      </w:r>
      <w:r w:rsidR="003C4F7A">
        <w:t>”</w:t>
      </w:r>
      <w:r w:rsidR="00F638C0">
        <w:t xml:space="preserve"> с </w:t>
      </w:r>
      <w:r w:rsidR="00265978">
        <w:t>115686556</w:t>
      </w:r>
      <w:r w:rsidR="00B151B3">
        <w:t xml:space="preserve">, представлявано от </w:t>
      </w:r>
      <w:r w:rsidR="003C4F7A">
        <w:t xml:space="preserve">собственика </w:t>
      </w:r>
      <w:r w:rsidR="00265978">
        <w:t xml:space="preserve">Здравко Ангелов </w:t>
      </w:r>
      <w:proofErr w:type="spellStart"/>
      <w:r w:rsidR="00265978">
        <w:t>Арменков</w:t>
      </w:r>
      <w:proofErr w:type="spellEnd"/>
      <w:r w:rsidR="003C4F7A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265978">
        <w:t>23.07</w:t>
      </w:r>
      <w:r w:rsidR="00F638C0">
        <w:t>.2014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562B44">
      <w:footerReference w:type="even" r:id="rId12"/>
      <w:footerReference w:type="default" r:id="rId13"/>
      <w:headerReference w:type="first" r:id="rId14"/>
      <w:pgSz w:w="11906" w:h="16838" w:code="9"/>
      <w:pgMar w:top="851" w:right="707" w:bottom="567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15" w:rsidRDefault="00575F15">
      <w:r>
        <w:separator/>
      </w:r>
    </w:p>
  </w:endnote>
  <w:endnote w:type="continuationSeparator" w:id="0">
    <w:p w:rsidR="00575F15" w:rsidRDefault="005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4" w:rsidRDefault="00D974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4C4" w:rsidRDefault="00D974C4">
    <w:pPr>
      <w:pStyle w:val="a5"/>
      <w:ind w:right="360"/>
    </w:pPr>
  </w:p>
  <w:p w:rsidR="00D974C4" w:rsidRDefault="00D974C4"/>
  <w:p w:rsidR="00D974C4" w:rsidRDefault="00D974C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4" w:rsidRDefault="00D974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E69">
      <w:rPr>
        <w:rStyle w:val="a7"/>
        <w:noProof/>
      </w:rPr>
      <w:t>8</w:t>
    </w:r>
    <w:r>
      <w:rPr>
        <w:rStyle w:val="a7"/>
      </w:rPr>
      <w:fldChar w:fldCharType="end"/>
    </w:r>
  </w:p>
  <w:p w:rsidR="00D974C4" w:rsidRDefault="00D974C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15" w:rsidRDefault="00575F15">
      <w:r>
        <w:separator/>
      </w:r>
    </w:p>
  </w:footnote>
  <w:footnote w:type="continuationSeparator" w:id="0">
    <w:p w:rsidR="00575F15" w:rsidRDefault="0057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4" w:rsidRDefault="00D974C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D974C4" w:rsidRDefault="00D974C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2D7D9D6C" wp14:editId="470CF9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57D4FE9B" wp14:editId="21385654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D974C4" w:rsidRDefault="00D974C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C86"/>
      </v:shape>
    </w:pict>
  </w:numPicBullet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5FD81FCF"/>
    <w:multiLevelType w:val="hybridMultilevel"/>
    <w:tmpl w:val="0CDC94A2"/>
    <w:lvl w:ilvl="0" w:tplc="0402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180FE5"/>
    <w:multiLevelType w:val="hybridMultilevel"/>
    <w:tmpl w:val="719E1300"/>
    <w:lvl w:ilvl="0" w:tplc="EDC2E6CA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2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BF406B8"/>
    <w:multiLevelType w:val="hybridMultilevel"/>
    <w:tmpl w:val="E9364D76"/>
    <w:lvl w:ilvl="0" w:tplc="0402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4E"/>
    <w:rsid w:val="000074A6"/>
    <w:rsid w:val="00010311"/>
    <w:rsid w:val="00012693"/>
    <w:rsid w:val="00013148"/>
    <w:rsid w:val="00015227"/>
    <w:rsid w:val="0001526F"/>
    <w:rsid w:val="00016C46"/>
    <w:rsid w:val="000175E4"/>
    <w:rsid w:val="00017CD9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D13"/>
    <w:rsid w:val="00035E61"/>
    <w:rsid w:val="00040D93"/>
    <w:rsid w:val="000420F6"/>
    <w:rsid w:val="00043136"/>
    <w:rsid w:val="000466E1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0DE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2484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021D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1246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EE5"/>
    <w:rsid w:val="001B35E0"/>
    <w:rsid w:val="001B569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686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978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1298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C68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182E"/>
    <w:rsid w:val="00363850"/>
    <w:rsid w:val="00371815"/>
    <w:rsid w:val="00372B83"/>
    <w:rsid w:val="0037369B"/>
    <w:rsid w:val="003749A3"/>
    <w:rsid w:val="00374BE1"/>
    <w:rsid w:val="00374DA9"/>
    <w:rsid w:val="00376592"/>
    <w:rsid w:val="003767AD"/>
    <w:rsid w:val="003774FD"/>
    <w:rsid w:val="0038010F"/>
    <w:rsid w:val="0038122F"/>
    <w:rsid w:val="00383636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6E21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4F7A"/>
    <w:rsid w:val="003C68A8"/>
    <w:rsid w:val="003C7AC1"/>
    <w:rsid w:val="003D03A8"/>
    <w:rsid w:val="003D192A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831"/>
    <w:rsid w:val="00422C87"/>
    <w:rsid w:val="00424C96"/>
    <w:rsid w:val="00425810"/>
    <w:rsid w:val="00425F04"/>
    <w:rsid w:val="004264AD"/>
    <w:rsid w:val="004305BC"/>
    <w:rsid w:val="00431105"/>
    <w:rsid w:val="00431881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0B47"/>
    <w:rsid w:val="004B1064"/>
    <w:rsid w:val="004B20D2"/>
    <w:rsid w:val="004B48ED"/>
    <w:rsid w:val="004B5236"/>
    <w:rsid w:val="004B585B"/>
    <w:rsid w:val="004B6C85"/>
    <w:rsid w:val="004C02B8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2FCC"/>
    <w:rsid w:val="004E42A2"/>
    <w:rsid w:val="004E4376"/>
    <w:rsid w:val="004E4400"/>
    <w:rsid w:val="004E51F2"/>
    <w:rsid w:val="004E63CF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B85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2B44"/>
    <w:rsid w:val="00563556"/>
    <w:rsid w:val="005647AA"/>
    <w:rsid w:val="00565773"/>
    <w:rsid w:val="00565D0E"/>
    <w:rsid w:val="005665D7"/>
    <w:rsid w:val="00571591"/>
    <w:rsid w:val="005716E9"/>
    <w:rsid w:val="00572A6B"/>
    <w:rsid w:val="00572A73"/>
    <w:rsid w:val="00572CE3"/>
    <w:rsid w:val="0057331D"/>
    <w:rsid w:val="00575F15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97A2A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3FA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693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95F"/>
    <w:rsid w:val="00643DEB"/>
    <w:rsid w:val="00645398"/>
    <w:rsid w:val="0064658C"/>
    <w:rsid w:val="00646A69"/>
    <w:rsid w:val="00646FCB"/>
    <w:rsid w:val="00651039"/>
    <w:rsid w:val="006535BF"/>
    <w:rsid w:val="0065417B"/>
    <w:rsid w:val="0065441D"/>
    <w:rsid w:val="00654F3D"/>
    <w:rsid w:val="00660146"/>
    <w:rsid w:val="00663986"/>
    <w:rsid w:val="006645B3"/>
    <w:rsid w:val="00664A08"/>
    <w:rsid w:val="00671106"/>
    <w:rsid w:val="0067195A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6E69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44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4192"/>
    <w:rsid w:val="00806621"/>
    <w:rsid w:val="0081172A"/>
    <w:rsid w:val="00814FF0"/>
    <w:rsid w:val="0081744B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47C8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13C"/>
    <w:rsid w:val="00961ACD"/>
    <w:rsid w:val="009625A3"/>
    <w:rsid w:val="00962D5D"/>
    <w:rsid w:val="009640A0"/>
    <w:rsid w:val="0096593F"/>
    <w:rsid w:val="009669BD"/>
    <w:rsid w:val="00966DA6"/>
    <w:rsid w:val="00966DC9"/>
    <w:rsid w:val="00967237"/>
    <w:rsid w:val="0096794D"/>
    <w:rsid w:val="009727A3"/>
    <w:rsid w:val="009733B3"/>
    <w:rsid w:val="0097690E"/>
    <w:rsid w:val="00977343"/>
    <w:rsid w:val="009775B7"/>
    <w:rsid w:val="009814B1"/>
    <w:rsid w:val="00982815"/>
    <w:rsid w:val="00986DAA"/>
    <w:rsid w:val="00987A1A"/>
    <w:rsid w:val="00987C62"/>
    <w:rsid w:val="009912D2"/>
    <w:rsid w:val="009929A8"/>
    <w:rsid w:val="009929C7"/>
    <w:rsid w:val="00992B17"/>
    <w:rsid w:val="00993046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49B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4AB2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331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688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3E44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5E50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707"/>
    <w:rsid w:val="00B859DE"/>
    <w:rsid w:val="00B85D31"/>
    <w:rsid w:val="00B86974"/>
    <w:rsid w:val="00B87110"/>
    <w:rsid w:val="00B91575"/>
    <w:rsid w:val="00B9457E"/>
    <w:rsid w:val="00B94581"/>
    <w:rsid w:val="00B957DD"/>
    <w:rsid w:val="00BA2E25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540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224E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53A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06A"/>
    <w:rsid w:val="00D01619"/>
    <w:rsid w:val="00D030C7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271CB"/>
    <w:rsid w:val="00D30EB9"/>
    <w:rsid w:val="00D3183A"/>
    <w:rsid w:val="00D32959"/>
    <w:rsid w:val="00D32B93"/>
    <w:rsid w:val="00D32F8A"/>
    <w:rsid w:val="00D35A27"/>
    <w:rsid w:val="00D3759A"/>
    <w:rsid w:val="00D40AC9"/>
    <w:rsid w:val="00D41F83"/>
    <w:rsid w:val="00D42F35"/>
    <w:rsid w:val="00D4342E"/>
    <w:rsid w:val="00D43D3D"/>
    <w:rsid w:val="00D44FA5"/>
    <w:rsid w:val="00D45356"/>
    <w:rsid w:val="00D47A64"/>
    <w:rsid w:val="00D50525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74C4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612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5C10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6BE5"/>
    <w:rsid w:val="00EE7CAC"/>
    <w:rsid w:val="00EF124A"/>
    <w:rsid w:val="00EF1C0D"/>
    <w:rsid w:val="00EF2925"/>
    <w:rsid w:val="00EF3DAB"/>
    <w:rsid w:val="00EF42A4"/>
    <w:rsid w:val="00EF6B12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023D"/>
    <w:rsid w:val="00F51186"/>
    <w:rsid w:val="00F52324"/>
    <w:rsid w:val="00F52713"/>
    <w:rsid w:val="00F5772A"/>
    <w:rsid w:val="00F60EB6"/>
    <w:rsid w:val="00F62137"/>
    <w:rsid w:val="00F638C0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281F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20B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D44F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D44F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6898-9510-4A76-ACCF-87B05D9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10</cp:revision>
  <cp:lastPrinted>2014-07-23T10:22:00Z</cp:lastPrinted>
  <dcterms:created xsi:type="dcterms:W3CDTF">2014-07-23T07:51:00Z</dcterms:created>
  <dcterms:modified xsi:type="dcterms:W3CDTF">2014-07-23T10:26:00Z</dcterms:modified>
</cp:coreProperties>
</file>