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C" w:rsidRDefault="00804E7C" w:rsidP="00EF0AD3">
      <w:pPr>
        <w:pStyle w:val="aa"/>
        <w:jc w:val="left"/>
        <w:rPr>
          <w:szCs w:val="24"/>
        </w:rPr>
      </w:pPr>
    </w:p>
    <w:p w:rsidR="00804E7C" w:rsidRDefault="00804E7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04E7C" w:rsidRPr="009F2F77" w:rsidRDefault="00804E7C" w:rsidP="005927A1">
      <w:pPr>
        <w:pStyle w:val="aa"/>
        <w:rPr>
          <w:sz w:val="24"/>
          <w:szCs w:val="24"/>
        </w:rPr>
      </w:pPr>
    </w:p>
    <w:p w:rsidR="00804E7C" w:rsidRPr="00966FB1" w:rsidRDefault="00804E7C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Педиатър”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="00E6583B"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="00E6583B" w:rsidRPr="00033864">
        <w:rPr>
          <w:lang w:val="bg-BG"/>
        </w:rPr>
        <w:t>”</w:t>
      </w:r>
      <w:r w:rsidR="00E6583B"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04E7C" w:rsidRPr="009F2F77" w:rsidRDefault="00804E7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04E7C" w:rsidRPr="009F2F77" w:rsidRDefault="00804E7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04E7C" w:rsidRPr="009F2F77" w:rsidRDefault="00804E7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04E7C" w:rsidRPr="009F2F77" w:rsidRDefault="00804E7C" w:rsidP="00AA7E5D">
      <w:pPr>
        <w:jc w:val="both"/>
        <w:rPr>
          <w:b/>
        </w:rPr>
      </w:pPr>
    </w:p>
    <w:p w:rsidR="00804E7C" w:rsidRPr="009F2F77" w:rsidRDefault="00804E7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04E7C" w:rsidRPr="009F2F77" w:rsidRDefault="00804E7C" w:rsidP="00DA1853">
      <w:pPr>
        <w:jc w:val="both"/>
        <w:rPr>
          <w:b/>
          <w:lang w:val="bg-BG"/>
        </w:rPr>
      </w:pPr>
    </w:p>
    <w:p w:rsidR="00804E7C" w:rsidRPr="00246EA5" w:rsidRDefault="00804E7C" w:rsidP="00FC5F5A">
      <w:pPr>
        <w:pStyle w:val="ac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04E7C" w:rsidRPr="00185392" w:rsidRDefault="00804E7C" w:rsidP="00FC5F5A">
      <w:pPr>
        <w:pStyle w:val="a3"/>
        <w:rPr>
          <w:color w:val="000000"/>
          <w:sz w:val="22"/>
          <w:szCs w:val="22"/>
        </w:rPr>
      </w:pPr>
    </w:p>
    <w:p w:rsidR="00804E7C" w:rsidRPr="00185392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color w:val="000000"/>
          <w:sz w:val="22"/>
          <w:szCs w:val="22"/>
        </w:rPr>
        <w:t>да имат висше образование – завършена образователна степен магистър със специалност „Педиатрия”;</w:t>
      </w:r>
    </w:p>
    <w:p w:rsidR="00804E7C" w:rsidRPr="00185392" w:rsidRDefault="00804E7C" w:rsidP="00FC5F5A">
      <w:pPr>
        <w:pStyle w:val="a6"/>
        <w:numPr>
          <w:ilvl w:val="0"/>
          <w:numId w:val="1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>да имат професионален опит не по-малък от 1 година като педиатър;</w:t>
      </w:r>
    </w:p>
    <w:p w:rsidR="00804E7C" w:rsidRPr="00185392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804E7C" w:rsidRPr="00185392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притежава компютърна грамотност;</w:t>
      </w:r>
    </w:p>
    <w:p w:rsidR="00804E7C" w:rsidRPr="00FC5F5A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t>да не са осъждани за умишле</w:t>
      </w:r>
      <w:r>
        <w:t>но престъпление от общ характер</w:t>
      </w:r>
      <w:r>
        <w:rPr>
          <w:lang w:val="bg-BG"/>
        </w:rPr>
        <w:t>.</w:t>
      </w:r>
    </w:p>
    <w:p w:rsidR="00804E7C" w:rsidRPr="008B2F69" w:rsidRDefault="00804E7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04E7C" w:rsidRPr="008B2F69" w:rsidRDefault="00804E7C" w:rsidP="00FC5F5A">
      <w:pPr>
        <w:jc w:val="both"/>
        <w:rPr>
          <w:b/>
          <w:color w:val="000000"/>
        </w:rPr>
      </w:pPr>
    </w:p>
    <w:p w:rsidR="00804E7C" w:rsidRPr="008B2F69" w:rsidRDefault="00804E7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804E7C" w:rsidRPr="00185392" w:rsidRDefault="00804E7C" w:rsidP="00FC5F5A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185392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804E7C" w:rsidRPr="00185392" w:rsidRDefault="00804E7C" w:rsidP="00FC5F5A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804E7C" w:rsidRPr="00185392" w:rsidRDefault="00804E7C" w:rsidP="00FC5F5A">
      <w:pPr>
        <w:pStyle w:val="a6"/>
        <w:spacing w:after="0"/>
        <w:ind w:left="720"/>
        <w:jc w:val="both"/>
        <w:rPr>
          <w:b/>
          <w:sz w:val="22"/>
          <w:szCs w:val="22"/>
        </w:rPr>
      </w:pPr>
    </w:p>
    <w:p w:rsidR="00804E7C" w:rsidRPr="009F2F77" w:rsidRDefault="00804E7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04E7C" w:rsidRPr="009F2F77" w:rsidRDefault="00804E7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 w:rsidR="006C6133">
        <w:rPr>
          <w:b/>
          <w:lang w:val="bg-BG"/>
        </w:rPr>
        <w:t>Обхват на заданието</w:t>
      </w:r>
      <w:r w:rsidRPr="009F2F77">
        <w:rPr>
          <w:b/>
          <w:lang w:val="bg-BG"/>
        </w:rPr>
        <w:t>: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Установяване на здравния статус на детето;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Измерване на височината и теглото на детето, главата, гръдния кош;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Следене на имунизационния календар, организиране на имунизациите в сътрудничество с личните лекари на децата, съдействие за регистрация при общопрактикуващ лекар;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Преглед и диагностика на психомоторното развитие - ежемесечно през първата година, на тримесечие през втората година, на полугодие през третата година и веднъж на 6 месеца за  деца от 4 до 7 години;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Профилактика на детските заболявания;</w:t>
      </w:r>
    </w:p>
    <w:p w:rsidR="006C6133" w:rsidRPr="002C556F" w:rsidRDefault="006C6133" w:rsidP="006C61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C556F">
        <w:lastRenderedPageBreak/>
        <w:t>Провеждане на консултации с родители за смущения в храненето: насърчаване на кърменето, измерване на бебето с цел установяване на количеството кърма, което бебето приема при хранене и др.;</w:t>
      </w:r>
    </w:p>
    <w:p w:rsidR="006C6133" w:rsidRPr="002C556F" w:rsidRDefault="006C6133" w:rsidP="006C61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C556F">
        <w:t>Провеждане на обучение по здравословно хранене, съответстващо на възрастта и индивидуалните нужди на детето;</w:t>
      </w:r>
    </w:p>
    <w:p w:rsidR="006C6133" w:rsidRPr="002C556F" w:rsidRDefault="006C6133" w:rsidP="006C61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C556F">
        <w:t>Провеждане на обучение за масажи, упражнения, стимулация и основни грижи за бебето и детето, практики за подобряване на общото здравословно състояние на детето, процедури за оформяне на тялото;</w:t>
      </w:r>
    </w:p>
    <w:p w:rsidR="006C6133" w:rsidRPr="002C556F" w:rsidRDefault="006C6133" w:rsidP="006C61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C556F">
        <w:t>Разработване на информационни материали, свързани с превенция и профилактика на детските заболявания;</w:t>
      </w:r>
    </w:p>
    <w:p w:rsidR="006C6133" w:rsidRPr="002C556F" w:rsidRDefault="006C6133" w:rsidP="006C6133">
      <w:pPr>
        <w:pStyle w:val="Default"/>
        <w:numPr>
          <w:ilvl w:val="0"/>
          <w:numId w:val="11"/>
        </w:numPr>
        <w:jc w:val="both"/>
      </w:pPr>
      <w:r w:rsidRPr="002C556F">
        <w:t xml:space="preserve">Провеждане на консултации по отношение на съня – информация по отношение на физико-психологичните страни на съня на децата, консултиране при проблеми със съня, водене на график на спане и др.; 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Осъществяване на сътрудничество с медицинската сестра и медиатора, които подпомагат  неговата дейност;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Подготовка на графици за провеждане на дейностите, в които участва, съгласувано с другите участници в екипа на услугата;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Създаване и поддържане на база данни относно потребителите по отделните дейности и предоставените им здравни услуги;</w:t>
      </w:r>
    </w:p>
    <w:p w:rsidR="006C6133" w:rsidRPr="002C556F" w:rsidRDefault="006C6133" w:rsidP="006C6133">
      <w:pPr>
        <w:pStyle w:val="a6"/>
        <w:numPr>
          <w:ilvl w:val="0"/>
          <w:numId w:val="11"/>
        </w:numPr>
        <w:autoSpaceDN w:val="0"/>
        <w:spacing w:after="0"/>
        <w:jc w:val="both"/>
        <w:rPr>
          <w:szCs w:val="24"/>
        </w:rPr>
      </w:pPr>
      <w:r w:rsidRPr="002C556F">
        <w:rPr>
          <w:szCs w:val="24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други.</w:t>
      </w:r>
    </w:p>
    <w:p w:rsidR="00804E7C" w:rsidRPr="000C2917" w:rsidRDefault="00804E7C" w:rsidP="009F2F77">
      <w:pPr>
        <w:jc w:val="both"/>
        <w:rPr>
          <w:lang w:val="bg-BG"/>
        </w:rPr>
      </w:pPr>
    </w:p>
    <w:p w:rsidR="00804E7C" w:rsidRPr="009F2F77" w:rsidRDefault="00804E7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 w:rsidR="00373FC1"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 w:rsidR="00373FC1"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804E7C" w:rsidRPr="009F2F77" w:rsidRDefault="00804E7C" w:rsidP="0089446D">
      <w:pPr>
        <w:spacing w:line="276" w:lineRule="auto"/>
        <w:ind w:left="1440"/>
        <w:jc w:val="both"/>
        <w:rPr>
          <w:lang w:val="bg-BG"/>
        </w:rPr>
      </w:pPr>
    </w:p>
    <w:p w:rsidR="00804E7C" w:rsidRPr="009F2F77" w:rsidRDefault="00804E7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E6583B" w:rsidRPr="00CD2D1B" w:rsidRDefault="00804E7C" w:rsidP="00E6583B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 xml:space="preserve">опие от документи ,удостоверяващи </w:t>
      </w:r>
      <w:r w:rsidR="00E6583B">
        <w:rPr>
          <w:lang w:val="bg-BG"/>
        </w:rPr>
        <w:t>професионалния опит (трудова, осигурителна, служебна книжка и др.)</w:t>
      </w:r>
    </w:p>
    <w:p w:rsidR="00804E7C" w:rsidRPr="009F2F77" w:rsidRDefault="00804E7C" w:rsidP="0089446D">
      <w:pPr>
        <w:jc w:val="both"/>
        <w:rPr>
          <w:lang w:val="bg-BG"/>
        </w:rPr>
      </w:pPr>
    </w:p>
    <w:p w:rsidR="00804E7C" w:rsidRPr="009F2F77" w:rsidRDefault="00804E7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373FC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>.0</w:t>
      </w:r>
      <w:r w:rsidR="00373FC1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04E7C" w:rsidRPr="009F2F77" w:rsidRDefault="00804E7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04E7C" w:rsidRPr="009F2F77" w:rsidRDefault="00804E7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3804B0">
      <w:pPr>
        <w:jc w:val="both"/>
      </w:pPr>
    </w:p>
    <w:p w:rsidR="00804E7C" w:rsidRDefault="00804E7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4E7C" w:rsidRDefault="00804E7C"/>
    <w:sectPr w:rsidR="00804E7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B5" w:rsidRDefault="000041B5">
      <w:r>
        <w:separator/>
      </w:r>
    </w:p>
  </w:endnote>
  <w:endnote w:type="continuationSeparator" w:id="1">
    <w:p w:rsidR="000041B5" w:rsidRDefault="0000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510D1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7C">
      <w:rPr>
        <w:rStyle w:val="a5"/>
        <w:noProof/>
      </w:rPr>
      <w:t>5</w:t>
    </w:r>
    <w:r>
      <w:rPr>
        <w:rStyle w:val="a5"/>
      </w:rPr>
      <w:fldChar w:fldCharType="end"/>
    </w:r>
  </w:p>
  <w:p w:rsidR="00804E7C" w:rsidRDefault="00804E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510D1D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510D1D"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804E7C" w:rsidRDefault="00510D1D">
    <w:pPr>
      <w:pStyle w:val="a8"/>
      <w:jc w:val="right"/>
    </w:pPr>
    <w:fldSimple w:instr="PAGE   \* MERGEFORMAT">
      <w:r w:rsidR="006C6133" w:rsidRPr="006C6133">
        <w:rPr>
          <w:noProof/>
          <w:lang w:val="bg-BG"/>
        </w:rPr>
        <w:t>1</w:t>
      </w:r>
    </w:fldSimple>
  </w:p>
  <w:p w:rsidR="00804E7C" w:rsidRDefault="00804E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B5" w:rsidRDefault="000041B5">
      <w:r>
        <w:separator/>
      </w:r>
    </w:p>
  </w:footnote>
  <w:footnote w:type="continuationSeparator" w:id="1">
    <w:p w:rsidR="000041B5" w:rsidRDefault="0000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510D1D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Pr="00510D1D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804E7C" w:rsidRPr="0087714C" w:rsidRDefault="00804E7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04E7C" w:rsidRPr="00EF0AD3" w:rsidRDefault="00804E7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041B5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287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0D1D"/>
    <w:rsid w:val="00516CBE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C6133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44935"/>
    <w:rsid w:val="00E52E8E"/>
    <w:rsid w:val="00E551B5"/>
    <w:rsid w:val="00E60AED"/>
    <w:rsid w:val="00E628B6"/>
    <w:rsid w:val="00E6583B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5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d&amp;d</cp:lastModifiedBy>
  <cp:revision>11</cp:revision>
  <dcterms:created xsi:type="dcterms:W3CDTF">2016-08-12T09:02:00Z</dcterms:created>
  <dcterms:modified xsi:type="dcterms:W3CDTF">2016-09-05T17:52:00Z</dcterms:modified>
</cp:coreProperties>
</file>