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B1" w:rsidRPr="0011591B" w:rsidRDefault="001171B1" w:rsidP="00117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1B1" w:rsidRPr="0011591B" w:rsidRDefault="002744D6" w:rsidP="001171B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08586251" r:id="rId7"/>
        </w:pict>
      </w:r>
      <w:r w:rsidR="001171B1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1171B1" w:rsidRPr="0011591B" w:rsidRDefault="002744D6" w:rsidP="001171B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1171B1" w:rsidRPr="0011591B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1171B1" w:rsidRPr="0011591B" w:rsidRDefault="002744D6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1171B1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1171B1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1171B1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1171B1" w:rsidRPr="0011591B" w:rsidRDefault="001171B1" w:rsidP="001171B1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1B1" w:rsidRPr="0011591B" w:rsidRDefault="001171B1" w:rsidP="001171B1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171B1" w:rsidRPr="00973204" w:rsidRDefault="001171B1" w:rsidP="001171B1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-0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09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2015 г.</w:t>
      </w:r>
    </w:p>
    <w:p w:rsidR="001171B1" w:rsidRPr="005B2850" w:rsidRDefault="001171B1" w:rsidP="001171B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1171B1" w:rsidRPr="005755E3" w:rsidRDefault="001171B1" w:rsidP="001171B1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ОБ-</w:t>
      </w:r>
      <w:r>
        <w:rPr>
          <w:rFonts w:ascii="Times New Roman" w:hAnsi="Times New Roman" w:cs="Times New Roman"/>
          <w:b/>
          <w:sz w:val="24"/>
          <w:szCs w:val="24"/>
        </w:rPr>
        <w:t>001203-1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1171B1" w:rsidRPr="005755E3" w:rsidRDefault="001171B1" w:rsidP="001171B1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1171B1" w:rsidRPr="005755E3" w:rsidRDefault="001171B1" w:rsidP="001171B1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171B1" w:rsidRPr="0011591B" w:rsidRDefault="001171B1" w:rsidP="001171B1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171B1" w:rsidRPr="0011591B" w:rsidRDefault="001171B1" w:rsidP="001171B1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старши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1171B1" w:rsidRDefault="001171B1" w:rsidP="001171B1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973204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973204">
        <w:rPr>
          <w:rFonts w:ascii="Times New Roman" w:hAnsi="Times New Roman" w:cs="Times New Roman"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>
        <w:rPr>
          <w:rFonts w:ascii="Times New Roman" w:hAnsi="Times New Roman" w:cs="Times New Roman"/>
          <w:b/>
          <w:sz w:val="24"/>
          <w:szCs w:val="24"/>
        </w:rPr>
        <w:t>001203-1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1171B1" w:rsidRPr="0011591B" w:rsidRDefault="001171B1" w:rsidP="001171B1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10588" w:type="dxa"/>
        <w:tblLayout w:type="fixed"/>
        <w:tblLook w:val="0000" w:firstRow="0" w:lastRow="0" w:firstColumn="0" w:lastColumn="0" w:noHBand="0" w:noVBand="0"/>
      </w:tblPr>
      <w:tblGrid>
        <w:gridCol w:w="2978"/>
        <w:gridCol w:w="7610"/>
      </w:tblGrid>
      <w:tr w:rsidR="001171B1" w:rsidRPr="0011591B" w:rsidTr="00A115FA">
        <w:trPr>
          <w:cantSplit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„ДИ ЕМ КОМЕРС 2013“ ЕООД</w:t>
            </w:r>
          </w:p>
        </w:tc>
      </w:tr>
      <w:tr w:rsidR="001171B1" w:rsidRPr="0011591B" w:rsidTr="00A115FA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202674334</w:t>
            </w:r>
          </w:p>
        </w:tc>
      </w:tr>
      <w:tr w:rsidR="001171B1" w:rsidRPr="0011591B" w:rsidTr="00A115FA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Пловдив,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 Родопи, с. Марково, ул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 Стоянов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171B1" w:rsidRPr="0011591B" w:rsidTr="00A115FA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Димитров Марков - управител</w:t>
            </w:r>
          </w:p>
        </w:tc>
      </w:tr>
    </w:tbl>
    <w:p w:rsidR="001171B1" w:rsidRPr="0011591B" w:rsidRDefault="001171B1" w:rsidP="001171B1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1B1" w:rsidRPr="0011591B" w:rsidRDefault="001171B1" w:rsidP="001171B1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1B1" w:rsidRPr="0011591B" w:rsidRDefault="001171B1" w:rsidP="001171B1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1171B1" w:rsidRPr="0011591B" w:rsidRDefault="001171B1" w:rsidP="001171B1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1171B1" w:rsidRPr="0011591B" w:rsidRDefault="001171B1" w:rsidP="001171B1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1171B1" w:rsidRPr="0011591B" w:rsidRDefault="001171B1" w:rsidP="001171B1">
      <w:pPr>
        <w:pStyle w:val="a3"/>
      </w:pPr>
    </w:p>
    <w:p w:rsidR="001171B1" w:rsidRDefault="001171B1" w:rsidP="001171B1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tab/>
        <w:t xml:space="preserve">    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г. г-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F3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 xml:space="preserve">202676876,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депозира до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Ф </w:t>
      </w:r>
      <w:r>
        <w:rPr>
          <w:rFonts w:ascii="Times New Roman" w:hAnsi="Times New Roman" w:cs="Times New Roman"/>
          <w:sz w:val="24"/>
          <w:szCs w:val="24"/>
        </w:rPr>
        <w:t>5594</w:t>
      </w:r>
      <w:r w:rsidRPr="001159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59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с което изразява желание за издаване на разрешение за ползване на имот общинска собственост за търговска дейност, чрез </w:t>
      </w:r>
      <w:r>
        <w:rPr>
          <w:rFonts w:ascii="Times New Roman" w:hAnsi="Times New Roman" w:cs="Times New Roman"/>
          <w:sz w:val="24"/>
          <w:szCs w:val="24"/>
        </w:rPr>
        <w:t>разполагане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площ от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1171B1" w:rsidRDefault="001171B1" w:rsidP="0011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Заявителят представя схема за разполагане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временни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обекти съгласно </w:t>
      </w:r>
      <w:r w:rsidRPr="0091676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56 от ЗУТ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НРПОТДОДЕГО на Община Пловдив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пред Кафе – аперитив 1 на територията на „Спортен комплекс Отдих и култура“, УПИ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гребен канал, съоръжения и зеленина и общ.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обслуж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дейности, кв.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sz w:val="24"/>
          <w:szCs w:val="24"/>
          <w:lang w:eastAsia="bg-BG"/>
        </w:rPr>
        <w:t>, р-н „Западен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916764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1591B">
        <w:rPr>
          <w:rFonts w:ascii="Times New Roman" w:hAnsi="Times New Roman" w:cs="Times New Roman"/>
          <w:sz w:val="24"/>
          <w:szCs w:val="24"/>
        </w:rPr>
        <w:t>. Пловдив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BD00B0">
        <w:rPr>
          <w:rFonts w:ascii="Times New Roman" w:hAnsi="Times New Roman" w:cs="Times New Roman"/>
          <w:sz w:val="24"/>
          <w:szCs w:val="24"/>
          <w:lang w:eastAsia="bg-BG"/>
        </w:rPr>
        <w:t xml:space="preserve">одобрена от Главен архитект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Район Западен, </w:t>
      </w:r>
      <w:r w:rsidRPr="0011591B">
        <w:rPr>
          <w:rFonts w:ascii="Times New Roman" w:hAnsi="Times New Roman" w:cs="Times New Roman"/>
          <w:sz w:val="24"/>
          <w:szCs w:val="24"/>
        </w:rPr>
        <w:t>гр.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B1" w:rsidRDefault="001171B1" w:rsidP="0011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Във връзка с постъпилото заявление е издадено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 xml:space="preserve">8.2015 г. </w:t>
      </w:r>
      <w:r w:rsidRPr="001171B1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ползване на имот общинска собственост за търговска дейно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ст, съгласно Раздел ІІ от Закона за местните данъци и такси /ЗМДТ/,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171B1" w:rsidRPr="0011591B" w:rsidRDefault="001171B1" w:rsidP="001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 w:rsidRPr="00133A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 имот общинска собственост за търговска дейност е съставено в два еднообразни екземпляра и г-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положил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върху документа, с което декларира, че е запознат и е съглас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условията на Разрешението, респективно със задълженията, които произтичат от него. </w:t>
      </w:r>
    </w:p>
    <w:p w:rsidR="001171B1" w:rsidRPr="00133AD8" w:rsidRDefault="001171B1" w:rsidP="001171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lang w:eastAsia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Разрешение №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важи за срок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1171B1" w:rsidRPr="0079760D" w:rsidRDefault="001171B1" w:rsidP="001171B1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Документът е издаден чрез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като при обработването му е въвед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записа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месечен финансов план, чрез който се генерират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месечните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начисления по разрешението, респективно задълженията на ползвателя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171B1" w:rsidRPr="00F34418" w:rsidRDefault="001171B1" w:rsidP="001171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171B1" w:rsidRPr="0011591B" w:rsidRDefault="001171B1" w:rsidP="001171B1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1171B1" w:rsidRDefault="001171B1" w:rsidP="001171B1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1C3B" w:rsidRPr="0011591B" w:rsidRDefault="007A1C3B" w:rsidP="001171B1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се събират такси за ползване на пазари, тържища, панаири, тротоари, площади и улични платна.</w:t>
      </w:r>
    </w:p>
    <w:p w:rsidR="001171B1" w:rsidRPr="00D86747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 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Приложение № 2 от тази наредба, като за ползване на терени за разполагане на маси за консумация на открито таксата е определена в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лв./кв.м/месец, с включен ДДС,</w:t>
      </w:r>
      <w:r w:rsidRP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зони, определени с Решение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 Пловдив. В конкретния случай обектът попада във Втора зона.</w:t>
      </w:r>
    </w:p>
    <w:p w:rsidR="001171B1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1C3B" w:rsidRPr="00D86747" w:rsidRDefault="007A1C3B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171B1" w:rsidRPr="00D86747" w:rsidRDefault="001171B1" w:rsidP="001171B1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1B1" w:rsidRPr="00B01C8D" w:rsidRDefault="001171B1" w:rsidP="00117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63">
        <w:rPr>
          <w:rFonts w:ascii="Times New Roman" w:hAnsi="Times New Roman" w:cs="Times New Roman"/>
          <w:b/>
          <w:sz w:val="24"/>
          <w:szCs w:val="24"/>
        </w:rPr>
        <w:t xml:space="preserve">Месечната такса 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ОБ-</w:t>
      </w:r>
      <w:r>
        <w:rPr>
          <w:rFonts w:ascii="Times New Roman" w:hAnsi="Times New Roman" w:cs="Times New Roman"/>
          <w:b/>
          <w:sz w:val="24"/>
          <w:szCs w:val="24"/>
        </w:rPr>
        <w:t>001203-1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hAnsi="Times New Roman" w:cs="Times New Roman"/>
          <w:b/>
          <w:sz w:val="24"/>
          <w:szCs w:val="24"/>
        </w:rPr>
        <w:t>г</w:t>
      </w:r>
      <w:r w:rsidRPr="00D33C63">
        <w:rPr>
          <w:rFonts w:ascii="Times New Roman" w:hAnsi="Times New Roman" w:cs="Times New Roman"/>
          <w:sz w:val="24"/>
          <w:szCs w:val="24"/>
        </w:rPr>
        <w:t>. е определена</w:t>
      </w:r>
      <w:r w:rsidRPr="00D3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Втора зона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Таксата за ползване на терени за разполагане на маси за консумация на открито е определена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1B1" w:rsidRDefault="001171B1" w:rsidP="001171B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B1" w:rsidRPr="00624133" w:rsidRDefault="001171B1" w:rsidP="001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129,00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лв./кв.м 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903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752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>0 лв./месец без ДДС.</w:t>
      </w:r>
    </w:p>
    <w:p w:rsidR="001171B1" w:rsidRPr="0011591B" w:rsidRDefault="001171B1" w:rsidP="001171B1">
      <w:pPr>
        <w:spacing w:after="0" w:line="240" w:lineRule="auto"/>
        <w:ind w:left="1211"/>
        <w:jc w:val="both"/>
        <w:rPr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33AD8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 xml:space="preserve">8.2015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 xml:space="preserve">., издадено от Кмета на Община Пловдив, за ползване на терен - общинска собственост с площ от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м. Август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E32">
        <w:rPr>
          <w:rFonts w:ascii="Times New Roman" w:hAnsi="Times New Roman" w:cs="Times New Roman"/>
          <w:b/>
          <w:sz w:val="24"/>
          <w:szCs w:val="24"/>
        </w:rPr>
        <w:t>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., без включен ДДС, са както следва:   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Default="001171B1" w:rsidP="001171B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</w:t>
      </w:r>
      <w:r w:rsidRPr="00FD29EE">
        <w:rPr>
          <w:rFonts w:ascii="Times New Roman" w:hAnsi="Times New Roman" w:cs="Times New Roman"/>
          <w:b/>
          <w:sz w:val="24"/>
          <w:szCs w:val="24"/>
        </w:rPr>
        <w:t>а 01.0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29EE">
        <w:rPr>
          <w:rFonts w:ascii="Times New Roman" w:hAnsi="Times New Roman" w:cs="Times New Roman"/>
          <w:b/>
          <w:sz w:val="24"/>
          <w:szCs w:val="24"/>
        </w:rPr>
        <w:t>.2015 г. – 31.</w:t>
      </w:r>
      <w:r w:rsidRPr="00FD29E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.2015г. -  такса   </w:t>
      </w:r>
      <w:r>
        <w:rPr>
          <w:rFonts w:ascii="Times New Roman" w:hAnsi="Times New Roman" w:cs="Times New Roman"/>
          <w:b/>
          <w:sz w:val="24"/>
          <w:szCs w:val="24"/>
        </w:rPr>
        <w:t>752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,50 лв. </w:t>
      </w:r>
    </w:p>
    <w:p w:rsidR="001171B1" w:rsidRPr="00FD29EE" w:rsidRDefault="001171B1" w:rsidP="001171B1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1171B1" w:rsidRDefault="001171B1" w:rsidP="001171B1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1171B1" w:rsidRPr="0011591B" w:rsidRDefault="001171B1" w:rsidP="001171B1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1171B1" w:rsidRPr="00E63E3C" w:rsidRDefault="001171B1" w:rsidP="001171B1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b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Във връзка с горното, на </w:t>
      </w:r>
      <w:r>
        <w:rPr>
          <w:rFonts w:ascii="Times New Roman" w:hAnsi="Times New Roman" w:cs="Times New Roman"/>
          <w:iCs/>
          <w:sz w:val="24"/>
          <w:szCs w:val="24"/>
        </w:rPr>
        <w:t>09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11591B">
        <w:rPr>
          <w:rFonts w:ascii="Times New Roman" w:hAnsi="Times New Roman" w:cs="Times New Roman"/>
          <w:iCs/>
          <w:sz w:val="24"/>
          <w:szCs w:val="24"/>
        </w:rPr>
        <w:t>.2015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извърших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2B53">
        <w:rPr>
          <w:rFonts w:ascii="Times New Roman" w:hAnsi="Times New Roman" w:cs="Times New Roman"/>
          <w:sz w:val="24"/>
          <w:szCs w:val="24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>не е извършило плащане на такси.</w:t>
      </w:r>
    </w:p>
    <w:p w:rsidR="001171B1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Pr="00FD29EE" w:rsidRDefault="007A1C3B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>дружеството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м. Август 2015 г.,</w:t>
      </w:r>
      <w:r w:rsidRP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B15B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 в съставената по – долу таблица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1171B1" w:rsidRPr="0011591B" w:rsidTr="00A115FA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1171B1" w:rsidRPr="0011591B" w:rsidRDefault="001171B1" w:rsidP="00A11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B1" w:rsidRPr="0011591B" w:rsidRDefault="001171B1" w:rsidP="00A11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1171B1" w:rsidRPr="0011591B" w:rsidTr="00A115FA">
        <w:trPr>
          <w:jc w:val="center"/>
        </w:trPr>
        <w:tc>
          <w:tcPr>
            <w:tcW w:w="526" w:type="dxa"/>
            <w:vAlign w:val="center"/>
          </w:tcPr>
          <w:p w:rsidR="001171B1" w:rsidRPr="0011591B" w:rsidRDefault="001171B1" w:rsidP="00A115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1171B1" w:rsidRPr="0011591B" w:rsidRDefault="001171B1" w:rsidP="0011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</w:tr>
      <w:tr w:rsidR="001171B1" w:rsidRPr="0011591B" w:rsidTr="00A115FA">
        <w:trPr>
          <w:trHeight w:val="1043"/>
          <w:jc w:val="center"/>
        </w:trPr>
        <w:tc>
          <w:tcPr>
            <w:tcW w:w="526" w:type="dxa"/>
            <w:vAlign w:val="center"/>
          </w:tcPr>
          <w:p w:rsidR="001171B1" w:rsidRPr="0011591B" w:rsidRDefault="001171B1" w:rsidP="00A115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171B1" w:rsidRPr="0011591B" w:rsidRDefault="001171B1" w:rsidP="0011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1171B1" w:rsidRPr="00FD29EE" w:rsidRDefault="001171B1" w:rsidP="00A115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B1" w:rsidRPr="005969DF" w:rsidRDefault="001171B1" w:rsidP="00A115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F">
              <w:rPr>
                <w:rFonts w:ascii="Times New Roman" w:hAnsi="Times New Roman" w:cs="Times New Roman"/>
                <w:b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1171B1" w:rsidRPr="00FD29EE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B1" w:rsidRPr="00FD29EE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proofErr w:type="spellStart"/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1171B1" w:rsidRPr="00FD29EE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B1" w:rsidRPr="005969DF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F">
              <w:rPr>
                <w:rFonts w:ascii="Times New Roman" w:hAnsi="Times New Roman" w:cs="Times New Roman"/>
                <w:b/>
                <w:sz w:val="24"/>
                <w:szCs w:val="24"/>
              </w:rPr>
              <w:t>752,50</w:t>
            </w:r>
          </w:p>
        </w:tc>
      </w:tr>
    </w:tbl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1171B1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Default="007A1C3B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Pr="0011591B" w:rsidRDefault="007A1C3B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</w:t>
      </w:r>
      <w:r>
        <w:rPr>
          <w:rFonts w:ascii="Times New Roman" w:hAnsi="Times New Roman" w:cs="Times New Roman"/>
          <w:sz w:val="24"/>
          <w:szCs w:val="24"/>
        </w:rPr>
        <w:t xml:space="preserve">стрирането на местните такси и </w:t>
      </w:r>
      <w:r w:rsidRPr="0011591B">
        <w:rPr>
          <w:rFonts w:ascii="Times New Roman" w:hAnsi="Times New Roman" w:cs="Times New Roman"/>
          <w:sz w:val="24"/>
          <w:szCs w:val="24"/>
        </w:rPr>
        <w:t>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A1C3B" w:rsidRDefault="007A1C3B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B1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2C">
        <w:rPr>
          <w:rFonts w:ascii="Times New Roman" w:hAnsi="Times New Roman" w:cs="Times New Roman"/>
          <w:b/>
          <w:sz w:val="24"/>
          <w:szCs w:val="24"/>
          <w:u w:val="single"/>
        </w:rPr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ОБ-001203-1/03.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71B1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1171B1" w:rsidRPr="0011591B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449"/>
        <w:gridCol w:w="1617"/>
      </w:tblGrid>
      <w:tr w:rsidR="001171B1" w:rsidRPr="0011591B" w:rsidTr="00A115F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1171B1" w:rsidRPr="0011591B" w:rsidTr="00A115F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11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1171B1" w:rsidRPr="0011591B" w:rsidTr="00A115F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11591B" w:rsidRDefault="001171B1" w:rsidP="0011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1171B1" w:rsidRPr="0011591B" w:rsidTr="00A115F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11591B" w:rsidRDefault="001171B1" w:rsidP="00A115F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Default="001171B1" w:rsidP="0011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1171B1" w:rsidRPr="0011591B" w:rsidTr="00A115F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A115F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1B1" w:rsidRPr="0011591B" w:rsidRDefault="001171B1" w:rsidP="0011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B1" w:rsidRPr="00C35F0C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13,83</w:t>
            </w:r>
          </w:p>
        </w:tc>
      </w:tr>
    </w:tbl>
    <w:p w:rsidR="001171B1" w:rsidRPr="0011591B" w:rsidRDefault="001171B1" w:rsidP="001171B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датата на издаване на настоящия акт - 09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Община Пловдив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 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37D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</w:t>
      </w:r>
      <w:proofErr w:type="spellStart"/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просрочие</w:t>
      </w:r>
      <w:proofErr w:type="spellEnd"/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7A1C3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1B1" w:rsidRPr="004D4DD3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D33C63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</w:t>
      </w:r>
    </w:p>
    <w:p w:rsidR="001171B1" w:rsidRDefault="001171B1" w:rsidP="001171B1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1171B1" w:rsidRPr="00D33C63" w:rsidRDefault="001171B1" w:rsidP="001171B1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1159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7A1C3B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са както следва:</w:t>
      </w:r>
    </w:p>
    <w:p w:rsidR="001171B1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Pr="0011591B" w:rsidRDefault="007A1C3B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1171B1" w:rsidRPr="0011591B" w:rsidTr="00A115FA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1171B1" w:rsidRPr="0011591B" w:rsidRDefault="001171B1" w:rsidP="00A11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B1" w:rsidRPr="0011591B" w:rsidRDefault="001171B1" w:rsidP="00A11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1171B1" w:rsidRPr="0011591B" w:rsidTr="00A115FA">
        <w:trPr>
          <w:jc w:val="center"/>
        </w:trPr>
        <w:tc>
          <w:tcPr>
            <w:tcW w:w="526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A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1171B1" w:rsidRPr="0011591B" w:rsidRDefault="001171B1" w:rsidP="007A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7A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</w:tr>
      <w:tr w:rsidR="001171B1" w:rsidRPr="0011591B" w:rsidTr="00A115FA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7A1C3B" w:rsidP="007A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171B1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71B1"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71B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171B1" w:rsidRPr="0011591B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 w:rsidR="001171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71B1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71B1" w:rsidRPr="0011591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7A1C3B" w:rsidP="007A1C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7A1C3B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1171B1" w:rsidRPr="0011591B" w:rsidTr="00A115FA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1" w:rsidRPr="0011591B" w:rsidRDefault="001171B1" w:rsidP="00A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1" w:rsidRPr="0011591B" w:rsidRDefault="001171B1" w:rsidP="00A1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1" w:rsidRPr="0011591B" w:rsidRDefault="001171B1" w:rsidP="00A11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752,50 </w:t>
            </w:r>
            <w:r w:rsidRPr="00FB612B">
              <w:rPr>
                <w:rFonts w:ascii="Times New Roman" w:hAnsi="Times New Roman" w:cs="Times New Roman"/>
                <w:b/>
                <w:sz w:val="24"/>
                <w:szCs w:val="24"/>
              </w:rPr>
              <w:t>лв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</w:p>
          <w:p w:rsidR="001171B1" w:rsidRPr="0011591B" w:rsidRDefault="001171B1" w:rsidP="007A1C3B">
            <w:pPr>
              <w:spacing w:after="0" w:line="240" w:lineRule="auto"/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Лихва </w:t>
            </w:r>
            <w:r w:rsidR="007A1C3B">
              <w:rPr>
                <w:rFonts w:ascii="Times New Roman" w:hAnsi="Times New Roman" w:cs="Times New Roman"/>
                <w:b/>
                <w:sz w:val="24"/>
                <w:szCs w:val="24"/>
              </w:rPr>
              <w:t>13,83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</w:tbl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1171B1" w:rsidRPr="0011591B" w:rsidRDefault="001171B1" w:rsidP="001171B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</w:t>
      </w:r>
      <w:r w:rsidRP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7A1C3B" w:rsidRPr="007A1C3B">
        <w:rPr>
          <w:rFonts w:ascii="Times New Roman" w:hAnsi="Times New Roman" w:cs="Times New Roman"/>
          <w:b/>
          <w:sz w:val="24"/>
          <w:szCs w:val="24"/>
        </w:rPr>
        <w:t>ОБ-001203-1/03.</w:t>
      </w:r>
      <w:r w:rsidR="007A1C3B" w:rsidRPr="007A1C3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A1C3B" w:rsidRPr="007A1C3B">
        <w:rPr>
          <w:rFonts w:ascii="Times New Roman" w:hAnsi="Times New Roman" w:cs="Times New Roman"/>
          <w:b/>
          <w:sz w:val="24"/>
          <w:szCs w:val="24"/>
        </w:rPr>
        <w:t>8.2015</w:t>
      </w:r>
      <w:r w:rsidR="007A1C3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E70E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70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0EE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11591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9</w:t>
      </w:r>
      <w:r w:rsidR="007A1C3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</w:t>
      </w:r>
      <w:r w:rsidR="007A1C3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83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деветстотин и </w:t>
      </w:r>
      <w:r w:rsidR="007A1C3B">
        <w:rPr>
          <w:rFonts w:ascii="Times New Roman" w:hAnsi="Times New Roman" w:cs="Times New Roman"/>
          <w:color w:val="000000" w:themeColor="text1"/>
          <w:sz w:val="24"/>
          <w:szCs w:val="24"/>
        </w:rPr>
        <w:t>шестнадесет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и </w:t>
      </w:r>
      <w:r w:rsidR="007A1C3B">
        <w:rPr>
          <w:rFonts w:ascii="Times New Roman" w:hAnsi="Times New Roman" w:cs="Times New Roman"/>
          <w:color w:val="000000" w:themeColor="text1"/>
          <w:sz w:val="24"/>
          <w:szCs w:val="24"/>
        </w:rPr>
        <w:t>осемдесет и три</w:t>
      </w:r>
      <w:r w:rsidR="007A1C3B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 т.ч.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752,50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седемстотин петдесет и два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петдесет стотинки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150,50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сто и петдесет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петдесет стотинки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</w:t>
      </w:r>
      <w:r w:rsidR="007A1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13,83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1C3B">
        <w:rPr>
          <w:rFonts w:ascii="Times New Roman" w:hAnsi="Times New Roman" w:cs="Times New Roman"/>
          <w:color w:val="000000" w:themeColor="text1"/>
          <w:sz w:val="24"/>
          <w:szCs w:val="24"/>
        </w:rPr>
        <w:t>трина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A1C3B">
        <w:rPr>
          <w:rFonts w:ascii="Times New Roman" w:hAnsi="Times New Roman" w:cs="Times New Roman"/>
          <w:color w:val="000000" w:themeColor="text1"/>
          <w:sz w:val="24"/>
          <w:szCs w:val="24"/>
        </w:rPr>
        <w:t>осем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и </w:t>
      </w:r>
      <w:r w:rsidR="007A1C3B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 </w:t>
      </w:r>
      <w:r w:rsidRPr="0011591B">
        <w:rPr>
          <w:rFonts w:ascii="Times New Roman" w:hAnsi="Times New Roman" w:cs="Times New Roman"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>
        <w:rPr>
          <w:rFonts w:ascii="Times New Roman" w:hAnsi="Times New Roman" w:cs="Times New Roman"/>
          <w:i/>
          <w:sz w:val="24"/>
          <w:szCs w:val="24"/>
        </w:rPr>
        <w:t>29.10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1171B1" w:rsidRPr="0011591B" w:rsidRDefault="001171B1" w:rsidP="001171B1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1171B1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3B" w:rsidRPr="0011591B" w:rsidRDefault="007A1C3B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1171B1" w:rsidRPr="0011591B" w:rsidTr="00A115FA">
        <w:trPr>
          <w:trHeight w:val="911"/>
        </w:trPr>
        <w:tc>
          <w:tcPr>
            <w:tcW w:w="63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1171B1" w:rsidRPr="0011591B" w:rsidTr="00A115FA">
        <w:trPr>
          <w:trHeight w:val="1501"/>
        </w:trPr>
        <w:tc>
          <w:tcPr>
            <w:tcW w:w="63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752,50</w:t>
            </w: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1171B1" w:rsidRPr="0011591B" w:rsidTr="00A115FA">
        <w:trPr>
          <w:trHeight w:val="589"/>
        </w:trPr>
        <w:tc>
          <w:tcPr>
            <w:tcW w:w="63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150,50</w:t>
            </w:r>
            <w:r w:rsidRPr="001159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1171B1" w:rsidRPr="0011591B" w:rsidTr="00A115FA">
        <w:trPr>
          <w:trHeight w:val="606"/>
        </w:trPr>
        <w:tc>
          <w:tcPr>
            <w:tcW w:w="63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1171B1" w:rsidRPr="0011591B" w:rsidRDefault="007A1C3B" w:rsidP="00A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13,83</w:t>
            </w:r>
          </w:p>
          <w:p w:rsidR="001171B1" w:rsidRPr="0011591B" w:rsidRDefault="001171B1" w:rsidP="00A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1171B1" w:rsidRPr="0011591B" w:rsidRDefault="001171B1" w:rsidP="00A1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1171B1" w:rsidRDefault="001171B1" w:rsidP="001171B1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3B" w:rsidRPr="0011591B" w:rsidRDefault="007A1C3B" w:rsidP="001171B1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1171B1" w:rsidRPr="0011591B" w:rsidRDefault="001171B1" w:rsidP="001171B1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снование чл. 152, ал. 1 от ДОПК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1171B1" w:rsidRPr="0011591B" w:rsidRDefault="001171B1" w:rsidP="001171B1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lastRenderedPageBreak/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1171B1" w:rsidRPr="0011591B" w:rsidRDefault="001171B1" w:rsidP="001171B1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Pr="008F34B5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8F34B5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8F34B5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8F34B5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71B1" w:rsidRPr="0011591B" w:rsidRDefault="001171B1" w:rsidP="001171B1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B1" w:rsidRDefault="001171B1" w:rsidP="001171B1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B1" w:rsidRDefault="001171B1" w:rsidP="001171B1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B1" w:rsidRPr="0011591B" w:rsidRDefault="001171B1" w:rsidP="001171B1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2015г.                           ОРГАН </w:t>
      </w:r>
    </w:p>
    <w:p w:rsidR="001171B1" w:rsidRPr="0011591B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1171B1" w:rsidRPr="00D33C63" w:rsidRDefault="001171B1" w:rsidP="001171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1171B1" w:rsidRDefault="001171B1" w:rsidP="001171B1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171B1" w:rsidRDefault="001171B1" w:rsidP="001171B1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171B1" w:rsidRPr="0011591B" w:rsidRDefault="001171B1" w:rsidP="001171B1">
      <w:pPr>
        <w:spacing w:after="0" w:line="240" w:lineRule="auto"/>
        <w:jc w:val="right"/>
        <w:rPr>
          <w:lang w:eastAsia="bg-BG"/>
        </w:rPr>
      </w:pPr>
    </w:p>
    <w:p w:rsidR="002744D6" w:rsidRPr="002744D6" w:rsidRDefault="002744D6" w:rsidP="002744D6">
      <w:pPr>
        <w:spacing w:after="0" w:line="240" w:lineRule="auto"/>
        <w:jc w:val="right"/>
        <w:rPr>
          <w:rFonts w:ascii="Calibri" w:eastAsia="Calibri" w:hAnsi="Calibri" w:cs="Times New Roman"/>
          <w:lang w:eastAsia="bg-BG"/>
        </w:rPr>
      </w:pPr>
    </w:p>
    <w:p w:rsidR="002744D6" w:rsidRPr="002744D6" w:rsidRDefault="002744D6" w:rsidP="002744D6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744D6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2744D6" w:rsidRPr="002744D6" w:rsidRDefault="002744D6" w:rsidP="002744D6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744D6" w:rsidRPr="002744D6" w:rsidRDefault="002744D6" w:rsidP="002744D6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2744D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2744D6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2744D6" w:rsidRPr="002744D6" w:rsidRDefault="002744D6" w:rsidP="002744D6">
      <w:pPr>
        <w:spacing w:after="0" w:line="240" w:lineRule="auto"/>
        <w:jc w:val="right"/>
        <w:rPr>
          <w:rFonts w:ascii="Calibri" w:eastAsia="Calibri" w:hAnsi="Calibri" w:cs="Times New Roman"/>
          <w:lang w:eastAsia="bg-BG"/>
        </w:rPr>
      </w:pPr>
      <w:r w:rsidRPr="002744D6">
        <w:rPr>
          <w:rFonts w:ascii="Calibri" w:eastAsia="Calibri" w:hAnsi="Calibri" w:cs="Times New Roman"/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1171B1" w:rsidRDefault="001171B1" w:rsidP="001171B1">
      <w:bookmarkStart w:id="0" w:name="_GoBack"/>
      <w:bookmarkEnd w:id="0"/>
    </w:p>
    <w:p w:rsidR="001171B1" w:rsidRDefault="001171B1" w:rsidP="001171B1"/>
    <w:p w:rsidR="00EE24BF" w:rsidRDefault="00EE24BF"/>
    <w:sectPr w:rsidR="00EE24BF" w:rsidSect="00E360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5D"/>
    <w:rsid w:val="001171B1"/>
    <w:rsid w:val="0018575D"/>
    <w:rsid w:val="002744D6"/>
    <w:rsid w:val="007A1C3B"/>
    <w:rsid w:val="00815F14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4</cp:revision>
  <cp:lastPrinted>2015-11-09T12:56:00Z</cp:lastPrinted>
  <dcterms:created xsi:type="dcterms:W3CDTF">2015-11-09T08:52:00Z</dcterms:created>
  <dcterms:modified xsi:type="dcterms:W3CDTF">2015-11-09T12:58:00Z</dcterms:modified>
</cp:coreProperties>
</file>