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7509CA">
        <w:rPr>
          <w:rFonts w:ascii="Times New Roman" w:eastAsia="Times New Roman" w:hAnsi="Times New Roman" w:cs="Times New Roman"/>
          <w:sz w:val="24"/>
          <w:szCs w:val="24"/>
        </w:rPr>
        <w:t>цех за мебели с шоурум и проектен сондажен кладенец“ в ПИ 56784.501.1020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7509CA">
        <w:rPr>
          <w:rFonts w:ascii="Times New Roman" w:eastAsia="Times New Roman" w:hAnsi="Times New Roman" w:cs="Times New Roman"/>
          <w:sz w:val="24"/>
          <w:szCs w:val="24"/>
        </w:rPr>
        <w:t xml:space="preserve">Дима 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7509CA">
        <w:rPr>
          <w:rFonts w:ascii="Times New Roman" w:eastAsia="Times New Roman" w:hAnsi="Times New Roman" w:cs="Times New Roman"/>
          <w:b/>
          <w:sz w:val="24"/>
          <w:szCs w:val="24"/>
        </w:rPr>
        <w:t>23.11.2017г. – 06.12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” н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A2F6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2017-12-05T12:44:00Z</dcterms:created>
  <dcterms:modified xsi:type="dcterms:W3CDTF">2017-12-05T12:44:00Z</dcterms:modified>
</cp:coreProperties>
</file>