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C8495C">
        <w:rPr>
          <w:rFonts w:ascii="Times New Roman" w:eastAsia="Times New Roman" w:hAnsi="Times New Roman" w:cs="Times New Roman"/>
          <w:caps/>
          <w:sz w:val="24"/>
          <w:szCs w:val="24"/>
        </w:rPr>
        <w:t xml:space="preserve">МИЛАРА ИНТЕРНЕШЪНЪЛ“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8495C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нуждите на предприятие за производство на електронна промишленост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C8495C">
        <w:rPr>
          <w:rFonts w:ascii="Times New Roman" w:eastAsia="Times New Roman" w:hAnsi="Times New Roman" w:cs="Times New Roman"/>
          <w:sz w:val="24"/>
          <w:szCs w:val="24"/>
        </w:rPr>
        <w:t xml:space="preserve"> ПИ 56784.504</w:t>
      </w:r>
      <w:bookmarkStart w:id="0" w:name="_GoBack"/>
      <w:bookmarkEnd w:id="0"/>
      <w:r w:rsidR="00C8495C">
        <w:rPr>
          <w:rFonts w:ascii="Times New Roman" w:eastAsia="Times New Roman" w:hAnsi="Times New Roman" w:cs="Times New Roman"/>
          <w:sz w:val="24"/>
          <w:szCs w:val="24"/>
        </w:rPr>
        <w:t>.861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8495C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5FD0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2018-02-26T12:35:00Z</dcterms:created>
  <dcterms:modified xsi:type="dcterms:W3CDTF">2018-02-26T12:35:00Z</dcterms:modified>
</cp:coreProperties>
</file>