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D" w:rsidRPr="005751E4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5751E4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5751E4">
        <w:rPr>
          <w:b/>
          <w:bCs/>
          <w:sz w:val="24"/>
          <w:szCs w:val="24"/>
          <w:u w:val="none"/>
        </w:rPr>
        <w:t xml:space="preserve">                                                                 </w:t>
      </w:r>
      <w:r w:rsidR="00C70833" w:rsidRPr="005751E4">
        <w:rPr>
          <w:b/>
          <w:bCs/>
          <w:sz w:val="24"/>
          <w:szCs w:val="24"/>
          <w:u w:val="none"/>
        </w:rPr>
        <w:t xml:space="preserve">            </w:t>
      </w:r>
      <w:r w:rsidRPr="005751E4">
        <w:rPr>
          <w:b/>
          <w:bCs/>
          <w:sz w:val="24"/>
          <w:szCs w:val="24"/>
          <w:u w:val="none"/>
        </w:rPr>
        <w:t xml:space="preserve">Образец № </w:t>
      </w:r>
      <w:r w:rsidR="0096538F" w:rsidRPr="005751E4">
        <w:rPr>
          <w:b/>
          <w:bCs/>
          <w:sz w:val="24"/>
          <w:szCs w:val="24"/>
          <w:u w:val="none"/>
        </w:rPr>
        <w:t>1</w:t>
      </w:r>
    </w:p>
    <w:p w:rsidR="001F280D" w:rsidRPr="005751E4" w:rsidRDefault="00427D8D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751E4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</w:t>
      </w:r>
      <w:r w:rsidR="001F280D" w:rsidRPr="005751E4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5751E4">
        <w:rPr>
          <w:rFonts w:ascii="Times New Roman" w:hAnsi="Times New Roman"/>
          <w:b/>
          <w:bCs/>
          <w:sz w:val="24"/>
          <w:szCs w:val="24"/>
          <w:lang w:val="bg-BG"/>
        </w:rPr>
        <w:t>чл. 71</w:t>
      </w:r>
      <w:r w:rsidR="001F280D" w:rsidRPr="005751E4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1 </w:t>
      </w:r>
      <w:r w:rsidR="00C70833" w:rsidRPr="005751E4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1F280D" w:rsidRPr="005751E4" w:rsidRDefault="00805BE2" w:rsidP="001F280D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5751E4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5751E4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-.2pt;width:.05pt;height:77.45pt;z-index:251657728" o:connectortype="straight"/>
        </w:pict>
      </w:r>
      <w:r w:rsidR="00D43E52">
        <w:rPr>
          <w:rFonts w:ascii="Times New Roman" w:hAnsi="Times New Roman"/>
          <w:spacing w:val="40"/>
          <w:sz w:val="30"/>
          <w:szCs w:val="30"/>
        </w:rPr>
        <w:t xml:space="preserve"> </w:t>
      </w:r>
      <w:r w:rsidRPr="005751E4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5751E4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5751E4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</w:rPr>
      </w:pPr>
      <w:r w:rsidRPr="005751E4">
        <w:rPr>
          <w:rFonts w:ascii="Times New Roman" w:hAnsi="Times New Roman"/>
          <w:sz w:val="36"/>
          <w:szCs w:val="36"/>
        </w:rPr>
        <w:t xml:space="preserve"> </w:t>
      </w:r>
      <w:r w:rsidRPr="005751E4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5751E4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5751E4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427D8D" w:rsidRPr="005751E4" w:rsidRDefault="00427D8D" w:rsidP="001F280D">
      <w:pPr>
        <w:rPr>
          <w:rFonts w:ascii="Times New Roman" w:hAnsi="Times New Roman"/>
          <w:lang w:val="bg-BG"/>
        </w:rPr>
      </w:pPr>
    </w:p>
    <w:p w:rsidR="001F280D" w:rsidRPr="005751E4" w:rsidRDefault="00D43E52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>
        <w:rPr>
          <w:rFonts w:ascii="Times New Roman" w:hAnsi="Times New Roman"/>
          <w:bCs/>
          <w:iCs/>
          <w:sz w:val="22"/>
          <w:szCs w:val="22"/>
          <w:lang w:val="bg-BG"/>
        </w:rPr>
        <w:t xml:space="preserve">  </w:t>
      </w:r>
      <w:r w:rsidR="001F280D" w:rsidRPr="005751E4">
        <w:rPr>
          <w:rFonts w:ascii="Times New Roman" w:hAnsi="Times New Roman"/>
          <w:bCs/>
          <w:iCs/>
          <w:sz w:val="22"/>
          <w:szCs w:val="22"/>
          <w:lang w:val="bg-BG"/>
        </w:rPr>
        <w:t>РЕГИОНАЛНА ИНСПЕ</w:t>
      </w:r>
      <w:r w:rsidR="006307B8" w:rsidRPr="005751E4">
        <w:rPr>
          <w:rFonts w:ascii="Times New Roman" w:hAnsi="Times New Roman"/>
          <w:bCs/>
          <w:iCs/>
          <w:sz w:val="22"/>
          <w:szCs w:val="22"/>
          <w:lang w:val="bg-BG"/>
        </w:rPr>
        <w:t>КЦИЯ ПО ОКОЛНАТА СРЕДА И ВОДИТЕ-</w:t>
      </w:r>
      <w:r w:rsidR="000D60A4" w:rsidRPr="005751E4">
        <w:rPr>
          <w:rFonts w:ascii="Times New Roman" w:hAnsi="Times New Roman"/>
          <w:bCs/>
          <w:iCs/>
          <w:sz w:val="22"/>
          <w:szCs w:val="22"/>
          <w:lang w:val="bg-BG"/>
        </w:rPr>
        <w:t>гр.</w:t>
      </w:r>
      <w:r w:rsidR="00BC7CD1" w:rsidRPr="005751E4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 w:rsidR="000D60A4" w:rsidRPr="005751E4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1F280D" w:rsidRPr="005751E4" w:rsidRDefault="001F280D">
      <w:pPr>
        <w:rPr>
          <w:rFonts w:ascii="Times New Roman" w:hAnsi="Times New Roman"/>
          <w:lang w:val="bg-BG"/>
        </w:rPr>
      </w:pPr>
    </w:p>
    <w:p w:rsidR="00EE2A8D" w:rsidRPr="005751E4" w:rsidRDefault="00EE2A8D">
      <w:pPr>
        <w:rPr>
          <w:rFonts w:ascii="Times New Roman" w:hAnsi="Times New Roman"/>
          <w:lang w:val="bg-BG"/>
        </w:rPr>
      </w:pPr>
    </w:p>
    <w:p w:rsidR="001F280D" w:rsidRPr="005751E4" w:rsidRDefault="001F280D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5751E4">
        <w:rPr>
          <w:b/>
          <w:bCs/>
          <w:sz w:val="32"/>
          <w:szCs w:val="32"/>
          <w:u w:val="none"/>
        </w:rPr>
        <w:t>РЕШЕНИЕ</w:t>
      </w:r>
    </w:p>
    <w:p w:rsidR="0039321A" w:rsidRPr="005751E4" w:rsidRDefault="0039321A" w:rsidP="0039321A">
      <w:pPr>
        <w:rPr>
          <w:lang w:val="bg-BG"/>
        </w:rPr>
      </w:pPr>
    </w:p>
    <w:p w:rsidR="00EE2A8D" w:rsidRPr="005751E4" w:rsidRDefault="00EE2A8D" w:rsidP="0039321A">
      <w:pPr>
        <w:rPr>
          <w:lang w:val="bg-BG"/>
        </w:rPr>
      </w:pPr>
    </w:p>
    <w:p w:rsidR="006307B8" w:rsidRPr="005751E4" w:rsidRDefault="006307B8" w:rsidP="006307B8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751E4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855E00" w:rsidRPr="005751E4">
        <w:rPr>
          <w:rFonts w:ascii="Times New Roman" w:hAnsi="Times New Roman"/>
          <w:b/>
          <w:sz w:val="28"/>
          <w:szCs w:val="28"/>
          <w:lang w:val="bg-BG"/>
        </w:rPr>
        <w:t>09-ДО-</w:t>
      </w:r>
      <w:r w:rsidR="00D91AB0">
        <w:rPr>
          <w:rFonts w:ascii="Times New Roman" w:hAnsi="Times New Roman"/>
          <w:b/>
          <w:sz w:val="28"/>
          <w:szCs w:val="28"/>
          <w:lang w:val="bg-BG"/>
        </w:rPr>
        <w:t>112</w:t>
      </w:r>
      <w:r w:rsidR="00D91AB0">
        <w:rPr>
          <w:rFonts w:ascii="Times New Roman" w:hAnsi="Times New Roman"/>
          <w:b/>
          <w:sz w:val="28"/>
          <w:szCs w:val="28"/>
        </w:rPr>
        <w:t>7</w:t>
      </w:r>
      <w:r w:rsidR="00DE6C35">
        <w:rPr>
          <w:rFonts w:ascii="Times New Roman" w:hAnsi="Times New Roman"/>
          <w:b/>
          <w:sz w:val="28"/>
          <w:szCs w:val="28"/>
          <w:lang w:val="bg-BG"/>
        </w:rPr>
        <w:t>-00</w:t>
      </w:r>
      <w:r w:rsidRPr="005751E4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D91AB0">
        <w:rPr>
          <w:rFonts w:ascii="Times New Roman" w:hAnsi="Times New Roman"/>
          <w:b/>
          <w:sz w:val="28"/>
          <w:szCs w:val="28"/>
        </w:rPr>
        <w:t>16</w:t>
      </w:r>
      <w:r w:rsidR="00855E00" w:rsidRPr="005751E4">
        <w:rPr>
          <w:rFonts w:ascii="Times New Roman" w:hAnsi="Times New Roman"/>
          <w:b/>
          <w:sz w:val="28"/>
          <w:szCs w:val="28"/>
          <w:lang w:val="bg-BG"/>
        </w:rPr>
        <w:t>.</w:t>
      </w:r>
      <w:r w:rsidR="00DB5F12">
        <w:rPr>
          <w:rFonts w:ascii="Times New Roman" w:hAnsi="Times New Roman"/>
          <w:b/>
          <w:sz w:val="28"/>
          <w:szCs w:val="28"/>
          <w:lang w:val="bg-BG"/>
        </w:rPr>
        <w:t>01</w:t>
      </w:r>
      <w:r w:rsidR="00855E00" w:rsidRPr="005751E4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B5F12">
        <w:rPr>
          <w:rFonts w:ascii="Times New Roman" w:hAnsi="Times New Roman"/>
          <w:b/>
          <w:sz w:val="28"/>
          <w:szCs w:val="28"/>
          <w:lang w:val="bg-BG"/>
        </w:rPr>
        <w:t>8</w:t>
      </w:r>
      <w:r w:rsidRPr="005751E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EE2A8D" w:rsidRDefault="00EE2A8D" w:rsidP="00AF1D92">
      <w:pPr>
        <w:pStyle w:val="3"/>
        <w:numPr>
          <w:ilvl w:val="12"/>
          <w:numId w:val="0"/>
        </w:numPr>
        <w:rPr>
          <w:rFonts w:ascii="Times New Roman" w:hAnsi="Times New Roman"/>
          <w:b/>
          <w:sz w:val="28"/>
          <w:szCs w:val="28"/>
        </w:rPr>
      </w:pPr>
    </w:p>
    <w:p w:rsidR="00560A7A" w:rsidRPr="005751E4" w:rsidRDefault="00560A7A" w:rsidP="00AF1D92">
      <w:pPr>
        <w:pStyle w:val="3"/>
        <w:numPr>
          <w:ilvl w:val="12"/>
          <w:numId w:val="0"/>
        </w:numPr>
        <w:rPr>
          <w:rFonts w:ascii="Times New Roman" w:hAnsi="Times New Roman"/>
          <w:b/>
          <w:sz w:val="28"/>
          <w:szCs w:val="28"/>
        </w:rPr>
      </w:pPr>
    </w:p>
    <w:p w:rsidR="002F6F45" w:rsidRPr="005751E4" w:rsidRDefault="00BC5736" w:rsidP="00EE2A8D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</w:rPr>
      </w:pPr>
      <w:r w:rsidRPr="005751E4">
        <w:rPr>
          <w:rFonts w:ascii="Times New Roman" w:hAnsi="Times New Roman"/>
          <w:sz w:val="22"/>
          <w:szCs w:val="22"/>
        </w:rPr>
        <w:t>На основание чл. 71, ал. 1 във връзка с чл. 35, ал. 1, т. 1 от Закона за управлен</w:t>
      </w:r>
      <w:r w:rsidR="007C2B6C" w:rsidRPr="005751E4">
        <w:rPr>
          <w:rFonts w:ascii="Times New Roman" w:hAnsi="Times New Roman"/>
          <w:sz w:val="22"/>
          <w:szCs w:val="22"/>
        </w:rPr>
        <w:t>ие на отпадъците (ЗУО),</w:t>
      </w:r>
      <w:r w:rsidRPr="005751E4">
        <w:rPr>
          <w:rFonts w:ascii="Times New Roman" w:hAnsi="Times New Roman"/>
          <w:sz w:val="22"/>
          <w:szCs w:val="22"/>
        </w:rPr>
        <w:t xml:space="preserve"> в</w:t>
      </w:r>
      <w:r w:rsidR="00855E00" w:rsidRPr="005751E4">
        <w:rPr>
          <w:rFonts w:ascii="Times New Roman" w:hAnsi="Times New Roman"/>
          <w:sz w:val="22"/>
          <w:szCs w:val="22"/>
        </w:rPr>
        <w:t>ъв връзка със заявление №УО-</w:t>
      </w:r>
      <w:r w:rsidR="00D91AB0">
        <w:rPr>
          <w:rFonts w:ascii="Times New Roman" w:hAnsi="Times New Roman"/>
          <w:sz w:val="22"/>
          <w:szCs w:val="22"/>
          <w:lang w:val="en-US"/>
        </w:rPr>
        <w:t>1149</w:t>
      </w:r>
      <w:r w:rsidR="002F6F45" w:rsidRPr="005751E4">
        <w:rPr>
          <w:rFonts w:ascii="Times New Roman" w:hAnsi="Times New Roman"/>
          <w:sz w:val="22"/>
          <w:szCs w:val="22"/>
        </w:rPr>
        <w:t xml:space="preserve"> от</w:t>
      </w:r>
      <w:r w:rsidR="00855E00" w:rsidRPr="005751E4">
        <w:rPr>
          <w:rFonts w:ascii="Times New Roman" w:hAnsi="Times New Roman"/>
          <w:sz w:val="22"/>
          <w:szCs w:val="22"/>
        </w:rPr>
        <w:t xml:space="preserve"> </w:t>
      </w:r>
      <w:r w:rsidR="00D91AB0">
        <w:rPr>
          <w:rFonts w:ascii="Times New Roman" w:hAnsi="Times New Roman"/>
          <w:sz w:val="22"/>
          <w:szCs w:val="22"/>
          <w:lang w:val="en-US"/>
        </w:rPr>
        <w:t>29</w:t>
      </w:r>
      <w:r w:rsidR="00855E00" w:rsidRPr="005751E4">
        <w:rPr>
          <w:rFonts w:ascii="Times New Roman" w:hAnsi="Times New Roman"/>
          <w:sz w:val="22"/>
          <w:szCs w:val="22"/>
        </w:rPr>
        <w:t>.</w:t>
      </w:r>
      <w:r w:rsidR="00560A7A">
        <w:rPr>
          <w:rFonts w:ascii="Times New Roman" w:hAnsi="Times New Roman"/>
          <w:sz w:val="22"/>
          <w:szCs w:val="22"/>
          <w:lang w:val="en-US"/>
        </w:rPr>
        <w:t>12</w:t>
      </w:r>
      <w:r w:rsidR="00665B4A" w:rsidRPr="005751E4">
        <w:rPr>
          <w:rFonts w:ascii="Times New Roman" w:hAnsi="Times New Roman"/>
          <w:sz w:val="22"/>
          <w:szCs w:val="22"/>
        </w:rPr>
        <w:t>.201</w:t>
      </w:r>
      <w:r w:rsidR="000531A8">
        <w:rPr>
          <w:rFonts w:ascii="Times New Roman" w:hAnsi="Times New Roman"/>
          <w:sz w:val="22"/>
          <w:szCs w:val="22"/>
        </w:rPr>
        <w:t>7</w:t>
      </w:r>
      <w:r w:rsidR="002F6F45" w:rsidRPr="005751E4">
        <w:rPr>
          <w:rFonts w:ascii="Times New Roman" w:hAnsi="Times New Roman"/>
          <w:sz w:val="22"/>
          <w:szCs w:val="22"/>
        </w:rPr>
        <w:t xml:space="preserve">г </w:t>
      </w:r>
    </w:p>
    <w:p w:rsidR="00EE2A8D" w:rsidRPr="005751E4" w:rsidRDefault="00EE2A8D" w:rsidP="00FC1F5E">
      <w:pPr>
        <w:pStyle w:val="3"/>
        <w:numPr>
          <w:ilvl w:val="12"/>
          <w:numId w:val="0"/>
        </w:numPr>
        <w:rPr>
          <w:rFonts w:ascii="Times New Roman" w:hAnsi="Times New Roman"/>
        </w:rPr>
      </w:pPr>
    </w:p>
    <w:p w:rsidR="00FC1F5E" w:rsidRDefault="001F280D" w:rsidP="000531A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 w:rsidRPr="005751E4">
        <w:rPr>
          <w:rFonts w:ascii="Times New Roman" w:hAnsi="Times New Roman"/>
          <w:b/>
          <w:sz w:val="28"/>
          <w:szCs w:val="28"/>
        </w:rPr>
        <w:t>РАЗРЕШАВАМ</w:t>
      </w:r>
    </w:p>
    <w:p w:rsidR="00560A7A" w:rsidRPr="005751E4" w:rsidRDefault="00560A7A" w:rsidP="000531A8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0531A8" w:rsidRDefault="00BC7CD1" w:rsidP="00A87580">
      <w:pPr>
        <w:numPr>
          <w:ilvl w:val="12"/>
          <w:numId w:val="0"/>
        </w:numPr>
        <w:ind w:left="3540" w:firstLine="708"/>
        <w:rPr>
          <w:rFonts w:ascii="Times New Roman" w:hAnsi="Times New Roman"/>
          <w:b/>
          <w:sz w:val="28"/>
          <w:szCs w:val="28"/>
          <w:lang w:val="bg-BG"/>
        </w:rPr>
      </w:pPr>
      <w:r w:rsidRPr="005751E4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="006307B8" w:rsidRPr="005751E4"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</w:p>
    <w:p w:rsidR="00560A7A" w:rsidRPr="005751E4" w:rsidRDefault="00560A7A" w:rsidP="00A87580">
      <w:pPr>
        <w:numPr>
          <w:ilvl w:val="12"/>
          <w:numId w:val="0"/>
        </w:numPr>
        <w:ind w:left="3540" w:firstLine="708"/>
        <w:rPr>
          <w:rFonts w:ascii="Times New Roman" w:hAnsi="Times New Roman"/>
          <w:b/>
          <w:sz w:val="28"/>
          <w:szCs w:val="28"/>
          <w:lang w:val="bg-BG"/>
        </w:rPr>
      </w:pPr>
    </w:p>
    <w:p w:rsidR="00635256" w:rsidRPr="005751E4" w:rsidRDefault="001201F6" w:rsidP="00A87580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751E4">
        <w:rPr>
          <w:rFonts w:ascii="Times New Roman" w:hAnsi="Times New Roman"/>
          <w:b/>
          <w:sz w:val="28"/>
          <w:szCs w:val="28"/>
          <w:lang w:val="bg-BG"/>
        </w:rPr>
        <w:t>„</w:t>
      </w:r>
      <w:r w:rsidR="00D91AB0">
        <w:rPr>
          <w:rFonts w:ascii="Times New Roman" w:hAnsi="Times New Roman"/>
          <w:b/>
          <w:sz w:val="28"/>
          <w:szCs w:val="28"/>
          <w:lang w:val="bg-BG"/>
        </w:rPr>
        <w:t>ПЕТРОЛ СЪРВИС</w:t>
      </w:r>
      <w:r w:rsidR="003D029C" w:rsidRPr="005751E4">
        <w:rPr>
          <w:rFonts w:ascii="Times New Roman" w:hAnsi="Times New Roman"/>
          <w:b/>
          <w:sz w:val="28"/>
          <w:szCs w:val="28"/>
          <w:lang w:val="bg-BG"/>
        </w:rPr>
        <w:t>”</w:t>
      </w:r>
      <w:r w:rsidR="00855E00" w:rsidRPr="005751E4">
        <w:rPr>
          <w:rFonts w:ascii="Times New Roman" w:hAnsi="Times New Roman"/>
          <w:b/>
          <w:sz w:val="28"/>
          <w:szCs w:val="28"/>
          <w:lang w:val="bg-BG"/>
        </w:rPr>
        <w:t xml:space="preserve"> ЕООД</w:t>
      </w:r>
    </w:p>
    <w:p w:rsidR="00560A7A" w:rsidRDefault="00560A7A" w:rsidP="00560A7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91AB0" w:rsidRDefault="00D91AB0" w:rsidP="00560A7A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D91AB0" w:rsidRPr="00D91AB0" w:rsidRDefault="00D91AB0" w:rsidP="00D91AB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91AB0">
        <w:rPr>
          <w:rFonts w:ascii="Times New Roman" w:hAnsi="Times New Roman"/>
          <w:b/>
          <w:sz w:val="24"/>
          <w:szCs w:val="24"/>
        </w:rPr>
        <w:t>ЕИК</w:t>
      </w:r>
      <w:r w:rsidRPr="00D91AB0">
        <w:rPr>
          <w:rFonts w:ascii="Times New Roman" w:hAnsi="Times New Roman"/>
          <w:sz w:val="24"/>
          <w:szCs w:val="24"/>
        </w:rPr>
        <w:t>: 203620130</w:t>
      </w:r>
      <w:r w:rsidRPr="00D91AB0">
        <w:rPr>
          <w:rFonts w:ascii="Times New Roman" w:hAnsi="Times New Roman"/>
          <w:sz w:val="24"/>
          <w:szCs w:val="24"/>
          <w:lang w:val="bg-BG"/>
        </w:rPr>
        <w:t>,</w:t>
      </w:r>
      <w:r w:rsidRPr="00D91AB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91AB0">
        <w:rPr>
          <w:rFonts w:ascii="Times New Roman" w:hAnsi="Times New Roman"/>
          <w:b/>
          <w:sz w:val="24"/>
          <w:szCs w:val="24"/>
        </w:rPr>
        <w:t xml:space="preserve">седалище и адрес на управлението: </w:t>
      </w:r>
      <w:r w:rsidRPr="00D91AB0">
        <w:rPr>
          <w:rFonts w:ascii="Times New Roman" w:hAnsi="Times New Roman"/>
          <w:sz w:val="24"/>
          <w:szCs w:val="24"/>
        </w:rPr>
        <w:t>обл. София, общ. Столична, гр. София 1505, район Оборище, ул. Алеко Константинов №36, ет.3, ап.5</w:t>
      </w:r>
      <w:r w:rsidRPr="00D91AB0">
        <w:rPr>
          <w:rFonts w:ascii="Times New Roman" w:hAnsi="Times New Roman"/>
          <w:sz w:val="24"/>
          <w:szCs w:val="24"/>
          <w:lang w:val="bg-BG"/>
        </w:rPr>
        <w:t>,</w:t>
      </w:r>
      <w:r w:rsidRPr="00D91AB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91AB0">
        <w:rPr>
          <w:rFonts w:ascii="Times New Roman" w:hAnsi="Times New Roman"/>
          <w:b/>
          <w:bCs/>
          <w:sz w:val="24"/>
          <w:szCs w:val="24"/>
        </w:rPr>
        <w:t>лице,управляващо/представляващо дружеството</w:t>
      </w:r>
      <w:r w:rsidRPr="00D91AB0">
        <w:rPr>
          <w:rFonts w:ascii="Times New Roman" w:hAnsi="Times New Roman"/>
          <w:b/>
          <w:sz w:val="24"/>
          <w:szCs w:val="24"/>
        </w:rPr>
        <w:t xml:space="preserve">: </w:t>
      </w:r>
      <w:r w:rsidRPr="00D91AB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етоди Лулчев Маринов </w:t>
      </w:r>
    </w:p>
    <w:p w:rsidR="00D91AB0" w:rsidRPr="00D91AB0" w:rsidRDefault="00D91AB0" w:rsidP="00D91A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1AB0">
        <w:rPr>
          <w:rFonts w:ascii="Times New Roman" w:hAnsi="Times New Roman"/>
          <w:b/>
          <w:bCs/>
          <w:sz w:val="24"/>
          <w:szCs w:val="24"/>
        </w:rPr>
        <w:t>Лице за контакти</w:t>
      </w:r>
      <w:r w:rsidRPr="00D91AB0">
        <w:rPr>
          <w:rFonts w:ascii="Times New Roman" w:hAnsi="Times New Roman"/>
          <w:b/>
          <w:sz w:val="24"/>
          <w:szCs w:val="24"/>
        </w:rPr>
        <w:t xml:space="preserve">: </w:t>
      </w:r>
      <w:r w:rsidRPr="00D91AB0">
        <w:rPr>
          <w:rFonts w:ascii="Times New Roman" w:hAnsi="Times New Roman"/>
          <w:sz w:val="24"/>
          <w:szCs w:val="24"/>
        </w:rPr>
        <w:t>Методи Лулчев Маринов:  0878665041, електронна поща: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9" w:history="1">
        <w:r w:rsidRPr="00D91AB0">
          <w:rPr>
            <w:rStyle w:val="a6"/>
            <w:rFonts w:ascii="Times New Roman" w:hAnsi="Times New Roman"/>
            <w:sz w:val="24"/>
            <w:szCs w:val="24"/>
          </w:rPr>
          <w:t>marinov.metodi@gmail.com</w:t>
        </w:r>
      </w:hyperlink>
      <w:r w:rsidRPr="00D91AB0">
        <w:rPr>
          <w:rFonts w:ascii="Times New Roman" w:hAnsi="Times New Roman"/>
          <w:sz w:val="24"/>
          <w:szCs w:val="24"/>
          <w:u w:val="single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Юлияна Начева: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0888949085,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91AB0">
        <w:rPr>
          <w:rFonts w:ascii="Times New Roman" w:hAnsi="Times New Roman"/>
          <w:sz w:val="24"/>
          <w:szCs w:val="24"/>
        </w:rPr>
        <w:t xml:space="preserve">електронна поща: </w:t>
      </w:r>
      <w:hyperlink r:id="rId10" w:history="1">
        <w:r w:rsidRPr="00D91AB0">
          <w:rPr>
            <w:rStyle w:val="a6"/>
            <w:rFonts w:ascii="Times New Roman" w:hAnsi="Times New Roman"/>
            <w:sz w:val="24"/>
            <w:szCs w:val="24"/>
          </w:rPr>
          <w:t>juliana_v@abv.bg</w:t>
        </w:r>
      </w:hyperlink>
    </w:p>
    <w:p w:rsidR="00D13291" w:rsidRPr="00DB5F12" w:rsidRDefault="00D13291" w:rsidP="00D13291">
      <w:pPr>
        <w:rPr>
          <w:rFonts w:ascii="Times New Roman" w:hAnsi="Times New Roman"/>
          <w:sz w:val="22"/>
          <w:szCs w:val="22"/>
          <w:lang w:val="bg-BG"/>
        </w:rPr>
      </w:pPr>
    </w:p>
    <w:p w:rsidR="00EE2A8D" w:rsidRPr="007E224A" w:rsidRDefault="001F280D" w:rsidP="00D1329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sz w:val="24"/>
          <w:szCs w:val="24"/>
          <w:lang w:val="bg-BG"/>
        </w:rPr>
        <w:t xml:space="preserve">І. Да извършва дейности по </w:t>
      </w:r>
      <w:r w:rsidR="00853055" w:rsidRPr="007E224A">
        <w:rPr>
          <w:rFonts w:ascii="Times New Roman" w:hAnsi="Times New Roman"/>
          <w:b/>
          <w:sz w:val="24"/>
          <w:szCs w:val="24"/>
          <w:lang w:val="bg-BG"/>
        </w:rPr>
        <w:t>третиране</w:t>
      </w:r>
      <w:r w:rsidRPr="007E224A">
        <w:rPr>
          <w:rFonts w:ascii="Times New Roman" w:hAnsi="Times New Roman"/>
          <w:b/>
          <w:sz w:val="24"/>
          <w:szCs w:val="24"/>
          <w:lang w:val="bg-BG"/>
        </w:rPr>
        <w:t xml:space="preserve"> на отпадъци на </w:t>
      </w:r>
      <w:r w:rsidR="00853055" w:rsidRPr="007E224A">
        <w:rPr>
          <w:rFonts w:ascii="Times New Roman" w:hAnsi="Times New Roman"/>
          <w:b/>
          <w:sz w:val="24"/>
          <w:szCs w:val="24"/>
          <w:lang w:val="bg-BG"/>
        </w:rPr>
        <w:t>следните площадки</w:t>
      </w:r>
      <w:r w:rsidRPr="007E224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87580" w:rsidRPr="007E224A" w:rsidRDefault="00A87580" w:rsidP="00D1329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53055" w:rsidRPr="007E224A" w:rsidRDefault="00450E6B" w:rsidP="00450E6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sz w:val="24"/>
          <w:szCs w:val="24"/>
          <w:lang w:val="bg-BG"/>
        </w:rPr>
        <w:t>1.</w:t>
      </w:r>
      <w:r w:rsidR="00853055" w:rsidRPr="007E224A">
        <w:rPr>
          <w:rFonts w:ascii="Times New Roman" w:hAnsi="Times New Roman"/>
          <w:b/>
          <w:sz w:val="24"/>
          <w:szCs w:val="24"/>
          <w:lang w:val="bg-BG"/>
        </w:rPr>
        <w:t>Площадка № 1:</w:t>
      </w:r>
    </w:p>
    <w:p w:rsidR="001A2FBA" w:rsidRPr="007E224A" w:rsidRDefault="001A2FBA" w:rsidP="008530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846583" w:rsidRPr="007E224A" w:rsidRDefault="00560A7A" w:rsidP="00846583">
      <w:pPr>
        <w:numPr>
          <w:ilvl w:val="1"/>
          <w:numId w:val="2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С местонахождение: Площадки на физически и юридически лица, притежатели на отпадъци; частна, кооперативна, общинска или държавна собственост, разположени на територия, контролирана от РИОСВ-Пловдив - област Пловдив (община </w:t>
      </w:r>
      <w:r w:rsidR="00846583" w:rsidRPr="007E224A">
        <w:rPr>
          <w:rFonts w:ascii="Times New Roman" w:hAnsi="Times New Roman"/>
          <w:sz w:val="24"/>
          <w:szCs w:val="24"/>
        </w:rPr>
        <w:t>Асеновград,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Брезово,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Калояново,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Карлово,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Кричим,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Куклен,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Марица,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Перущица,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Пловдив,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Първомай,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Раковски,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Родопи,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Садово,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Сопот,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Стамболийски,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Съединение,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 община</w:t>
      </w:r>
      <w:r w:rsidR="00846583" w:rsidRPr="007E224A">
        <w:rPr>
          <w:rFonts w:ascii="Times New Roman" w:hAnsi="Times New Roman"/>
          <w:sz w:val="24"/>
          <w:szCs w:val="24"/>
        </w:rPr>
        <w:t xml:space="preserve"> Хисаря</w:t>
      </w:r>
      <w:r w:rsidR="00846583" w:rsidRPr="007E224A">
        <w:rPr>
          <w:rFonts w:ascii="Times New Roman" w:hAnsi="Times New Roman"/>
          <w:sz w:val="24"/>
          <w:szCs w:val="24"/>
          <w:lang w:val="bg-BG"/>
        </w:rPr>
        <w:t xml:space="preserve">) </w:t>
      </w:r>
    </w:p>
    <w:p w:rsidR="00846583" w:rsidRPr="007E224A" w:rsidRDefault="00846583" w:rsidP="00846583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A2378" w:rsidRPr="007E224A" w:rsidRDefault="00853055" w:rsidP="00CA2378">
      <w:pPr>
        <w:numPr>
          <w:ilvl w:val="1"/>
          <w:numId w:val="2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количеството, произходът на отпадъ</w:t>
      </w:r>
      <w:r w:rsidR="005969D3" w:rsidRPr="007E224A">
        <w:rPr>
          <w:rFonts w:ascii="Times New Roman" w:hAnsi="Times New Roman"/>
          <w:sz w:val="24"/>
          <w:szCs w:val="24"/>
          <w:lang w:val="bg-BG"/>
        </w:rPr>
        <w:t>ците и дейностите по третиране с</w:t>
      </w:r>
      <w:r w:rsidRPr="007E224A">
        <w:rPr>
          <w:rFonts w:ascii="Times New Roman" w:hAnsi="Times New Roman"/>
          <w:sz w:val="24"/>
          <w:szCs w:val="24"/>
          <w:lang w:val="bg-BG"/>
        </w:rPr>
        <w:t>а посочени в следната таблица:</w:t>
      </w:r>
      <w:r w:rsidR="00CA3F03" w:rsidRPr="007E224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35256" w:rsidRPr="007E224A" w:rsidRDefault="00635256" w:rsidP="00635256">
      <w:pPr>
        <w:pStyle w:val="ae"/>
        <w:rPr>
          <w:rFonts w:ascii="Times New Roman" w:hAnsi="Times New Roman"/>
          <w:sz w:val="24"/>
          <w:szCs w:val="24"/>
          <w:lang w:val="bg-BG"/>
        </w:rPr>
      </w:pPr>
    </w:p>
    <w:p w:rsidR="00635256" w:rsidRPr="007E224A" w:rsidRDefault="00635256" w:rsidP="00635256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60A7A" w:rsidRPr="007E224A" w:rsidRDefault="00560A7A" w:rsidP="00635256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0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487"/>
        <w:gridCol w:w="2125"/>
        <w:gridCol w:w="10"/>
        <w:gridCol w:w="2762"/>
        <w:gridCol w:w="1846"/>
        <w:gridCol w:w="2062"/>
        <w:gridCol w:w="27"/>
      </w:tblGrid>
      <w:tr w:rsidR="00560A7A" w:rsidRPr="007E224A" w:rsidTr="00D91AB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739" w:type="dxa"/>
            <w:vMerge w:val="restart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ind w:left="62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622" w:type="dxa"/>
            <w:gridSpan w:val="3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2762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Дейности,</w:t>
            </w:r>
          </w:p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кодове </w:t>
            </w:r>
          </w:p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46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089" w:type="dxa"/>
            <w:gridSpan w:val="2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cantSplit/>
          <w:trHeight w:val="169"/>
          <w:jc w:val="center"/>
        </w:trPr>
        <w:tc>
          <w:tcPr>
            <w:tcW w:w="739" w:type="dxa"/>
            <w:vMerge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125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772" w:type="dxa"/>
            <w:gridSpan w:val="2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46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089" w:type="dxa"/>
            <w:gridSpan w:val="2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739" w:type="dxa"/>
            <w:vMerge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125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772" w:type="dxa"/>
            <w:gridSpan w:val="2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846" w:type="dxa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2089" w:type="dxa"/>
            <w:gridSpan w:val="2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66"/>
          <w:jc w:val="center"/>
        </w:trPr>
        <w:tc>
          <w:tcPr>
            <w:tcW w:w="739" w:type="dxa"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02 01 08*</w:t>
            </w:r>
          </w:p>
        </w:tc>
        <w:tc>
          <w:tcPr>
            <w:tcW w:w="2125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Агрохимични отпадъци, съдържащи опасни вещества</w:t>
            </w:r>
          </w:p>
        </w:tc>
        <w:tc>
          <w:tcPr>
            <w:tcW w:w="2772" w:type="dxa"/>
            <w:gridSpan w:val="2"/>
          </w:tcPr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D13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Hlk493941966"/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Прегру</w:t>
            </w:r>
            <w:r w:rsidR="00D82953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пиране или смесване преди подлагане на някоя от дейностите с кодове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обезвреждането им по някоя от операциите</w:t>
            </w:r>
          </w:p>
          <w:p w:rsidR="00560A7A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D12</w:t>
            </w:r>
            <w:bookmarkEnd w:id="0"/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D14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Препакетиране </w:t>
            </w:r>
            <w:r w:rsidR="00D82953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преди подлагане на някоя от дейностите с кодове</w:t>
            </w:r>
          </w:p>
          <w:p w:rsidR="00560A7A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D13</w:t>
            </w:r>
          </w:p>
        </w:tc>
        <w:tc>
          <w:tcPr>
            <w:tcW w:w="1846" w:type="dxa"/>
            <w:vAlign w:val="center"/>
          </w:tcPr>
          <w:p w:rsidR="00560A7A" w:rsidRPr="007E224A" w:rsidRDefault="00D91AB0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291</w:t>
            </w:r>
          </w:p>
        </w:tc>
        <w:tc>
          <w:tcPr>
            <w:tcW w:w="2062" w:type="dxa"/>
          </w:tcPr>
          <w:p w:rsidR="00560A7A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 селското стопанство -препарати за растителна защита с изтекъл срок на годност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42"/>
          <w:jc w:val="center"/>
        </w:trPr>
        <w:tc>
          <w:tcPr>
            <w:tcW w:w="739" w:type="dxa"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15 01 10*</w:t>
            </w:r>
          </w:p>
        </w:tc>
        <w:tc>
          <w:tcPr>
            <w:tcW w:w="2125" w:type="dxa"/>
            <w:vAlign w:val="center"/>
          </w:tcPr>
          <w:p w:rsidR="00560A7A" w:rsidRPr="007E224A" w:rsidRDefault="00560A7A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  <w:t>Опаковки, съдържащи остатъци от опасни вещества или замърсени с опасни вещества</w:t>
            </w:r>
          </w:p>
        </w:tc>
        <w:tc>
          <w:tcPr>
            <w:tcW w:w="2772" w:type="dxa"/>
            <w:gridSpan w:val="2"/>
          </w:tcPr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D13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Прегрупиране или смесване преди подлагане на някоя от дейностите с кодове за обезвреждането им по някоя от операциите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D12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D14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Препакетиране преди подлагане на някоя от дейностите с кодове</w:t>
            </w:r>
          </w:p>
          <w:p w:rsidR="00560A7A" w:rsidRPr="007E224A" w:rsidRDefault="00D82953" w:rsidP="00955ECB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D13</w:t>
            </w:r>
          </w:p>
        </w:tc>
        <w:tc>
          <w:tcPr>
            <w:tcW w:w="1846" w:type="dxa"/>
            <w:vAlign w:val="center"/>
          </w:tcPr>
          <w:p w:rsidR="00560A7A" w:rsidRPr="007E224A" w:rsidRDefault="00D91AB0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70</w:t>
            </w:r>
          </w:p>
        </w:tc>
        <w:tc>
          <w:tcPr>
            <w:tcW w:w="2062" w:type="dxa"/>
          </w:tcPr>
          <w:p w:rsidR="00560A7A" w:rsidRPr="007E224A" w:rsidRDefault="00560A7A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опаковки, образувани при употребата или преопаковането на опасни вещества и препарати</w:t>
            </w:r>
          </w:p>
        </w:tc>
      </w:tr>
      <w:tr w:rsidR="00560A7A" w:rsidRPr="007E224A" w:rsidTr="00ED17F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37"/>
          <w:jc w:val="center"/>
        </w:trPr>
        <w:tc>
          <w:tcPr>
            <w:tcW w:w="739" w:type="dxa"/>
          </w:tcPr>
          <w:p w:rsidR="00560A7A" w:rsidRPr="007E224A" w:rsidRDefault="00560A7A" w:rsidP="00560A7A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62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87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20 01 19*</w:t>
            </w:r>
          </w:p>
        </w:tc>
        <w:tc>
          <w:tcPr>
            <w:tcW w:w="2125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Пестициди</w:t>
            </w:r>
          </w:p>
        </w:tc>
        <w:tc>
          <w:tcPr>
            <w:tcW w:w="2772" w:type="dxa"/>
            <w:gridSpan w:val="2"/>
          </w:tcPr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D13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Прегрупиране или смесване преди подлагане на някоя от дейностите с кодове за обезвреждането им по някоя от операциите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D12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D14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-</w:t>
            </w:r>
          </w:p>
          <w:p w:rsidR="00D82953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Препакетиране преди подлагане на някоя от дейностите с кодове</w:t>
            </w:r>
          </w:p>
          <w:p w:rsidR="00560A7A" w:rsidRPr="007E224A" w:rsidRDefault="00D82953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D1 - D13</w:t>
            </w:r>
          </w:p>
        </w:tc>
        <w:tc>
          <w:tcPr>
            <w:tcW w:w="1846" w:type="dxa"/>
            <w:vAlign w:val="center"/>
          </w:tcPr>
          <w:p w:rsidR="00560A7A" w:rsidRPr="007E224A" w:rsidRDefault="006E2508" w:rsidP="00560A7A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291</w:t>
            </w:r>
          </w:p>
        </w:tc>
        <w:tc>
          <w:tcPr>
            <w:tcW w:w="2062" w:type="dxa"/>
            <w:vAlign w:val="center"/>
          </w:tcPr>
          <w:p w:rsidR="00560A7A" w:rsidRPr="007E224A" w:rsidRDefault="00560A7A" w:rsidP="00560A7A">
            <w:pPr>
              <w:overflowPunct/>
              <w:autoSpaceDE/>
              <w:autoSpaceDN/>
              <w:adjustRightInd/>
              <w:ind w:left="29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Държавни, общински, кооперативни частни складове за съхранение на пестициди.</w:t>
            </w:r>
          </w:p>
        </w:tc>
      </w:tr>
    </w:tbl>
    <w:p w:rsidR="00560A7A" w:rsidRPr="007E224A" w:rsidRDefault="00560A7A" w:rsidP="00560A7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A3F03" w:rsidRPr="007E224A" w:rsidRDefault="00CA3F03" w:rsidP="00CA237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A3F03" w:rsidRPr="007E224A" w:rsidRDefault="00CA3F03" w:rsidP="006856E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C3DFC" w:rsidRPr="007E224A" w:rsidRDefault="005C3DFC" w:rsidP="005C3DF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II. </w:t>
      </w:r>
      <w:r w:rsidRPr="007E224A">
        <w:rPr>
          <w:rFonts w:ascii="Times New Roman" w:hAnsi="Times New Roman"/>
          <w:b/>
          <w:sz w:val="24"/>
          <w:szCs w:val="24"/>
          <w:lang w:val="bg-BG"/>
        </w:rPr>
        <w:t>Mетоди и технологии за третиране на отпадъците по видове дейности, вид и капацитет на съоръженията.</w:t>
      </w:r>
    </w:p>
    <w:p w:rsidR="00955ECB" w:rsidRPr="007E224A" w:rsidRDefault="00955ECB" w:rsidP="00B104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55ECB" w:rsidRPr="007E224A" w:rsidRDefault="006E2508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„Петрол сървис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>“ ЕООД да извършва дейности с кодове D13 и D14 само след сключване на писмен догов</w:t>
      </w:r>
      <w:r w:rsidR="007A4579">
        <w:rPr>
          <w:rFonts w:ascii="Times New Roman" w:hAnsi="Times New Roman"/>
          <w:sz w:val="24"/>
          <w:szCs w:val="24"/>
          <w:lang w:val="bg-BG"/>
        </w:rPr>
        <w:t>ор с притежателя на отпадъците-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>възложителя</w:t>
      </w:r>
      <w:r w:rsidR="007A4579">
        <w:rPr>
          <w:rFonts w:ascii="Times New Roman" w:hAnsi="Times New Roman"/>
          <w:sz w:val="24"/>
          <w:szCs w:val="24"/>
          <w:lang w:val="bg-BG"/>
        </w:rPr>
        <w:t>т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>. След под</w:t>
      </w:r>
      <w:r>
        <w:rPr>
          <w:rFonts w:ascii="Times New Roman" w:hAnsi="Times New Roman"/>
          <w:sz w:val="24"/>
          <w:szCs w:val="24"/>
          <w:lang w:val="bg-BG"/>
        </w:rPr>
        <w:t>писването на същия, „Петрол сървис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“ ЕООД да уведоми писмено РИОСВ – </w:t>
      </w:r>
      <w:r w:rsidR="00955ECB" w:rsidRPr="007E224A">
        <w:rPr>
          <w:rFonts w:ascii="Times New Roman" w:hAnsi="Times New Roman"/>
          <w:sz w:val="24"/>
          <w:szCs w:val="24"/>
        </w:rPr>
        <w:t>Пловдив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за местоположението на площадката, на която ще се извършв</w:t>
      </w:r>
      <w:r w:rsidR="00955ECB" w:rsidRPr="007E224A">
        <w:rPr>
          <w:rFonts w:ascii="Times New Roman" w:hAnsi="Times New Roman"/>
          <w:sz w:val="24"/>
          <w:szCs w:val="24"/>
        </w:rPr>
        <w:t xml:space="preserve">ат описаните дейности 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>с отпадъци, както и срока за изпълнение на дейността. Копие от договорите да бъдат представяни в срок не по късно</w:t>
      </w:r>
      <w:r w:rsidR="003438F8" w:rsidRPr="007E224A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две седмици преди започване на дейността.</w:t>
      </w:r>
    </w:p>
    <w:p w:rsidR="00955ECB" w:rsidRPr="007E224A" w:rsidRDefault="003438F8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Преопакованите отпадъци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се транспортират </w:t>
      </w:r>
      <w:r w:rsidRPr="007E224A">
        <w:rPr>
          <w:rFonts w:ascii="Times New Roman" w:hAnsi="Times New Roman"/>
          <w:sz w:val="24"/>
          <w:szCs w:val="24"/>
          <w:lang w:val="bg-BG"/>
        </w:rPr>
        <w:t>за съхранение  до площадк</w:t>
      </w:r>
      <w:r w:rsidR="006E2508">
        <w:rPr>
          <w:rFonts w:ascii="Times New Roman" w:hAnsi="Times New Roman"/>
          <w:sz w:val="24"/>
          <w:szCs w:val="24"/>
          <w:lang w:val="bg-BG"/>
        </w:rPr>
        <w:t>ата, намираща се в гр. Монтана на „Петрол сървис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>“ ЕООД, за която има издадено разрешително</w:t>
      </w:r>
      <w:r w:rsidR="007A4579">
        <w:rPr>
          <w:rFonts w:ascii="Times New Roman" w:hAnsi="Times New Roman"/>
          <w:sz w:val="24"/>
          <w:szCs w:val="24"/>
          <w:lang w:val="bg-BG"/>
        </w:rPr>
        <w:t>,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съгласно чл.35, ал.1, т.1 от ЗУО.</w:t>
      </w:r>
    </w:p>
    <w:p w:rsidR="003438F8" w:rsidRPr="007E224A" w:rsidRDefault="003438F8" w:rsidP="006E250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Отпадъците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се транспортират със со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бствен транспорт, за което </w:t>
      </w:r>
      <w:r w:rsidR="006E2508">
        <w:rPr>
          <w:rFonts w:ascii="Times New Roman" w:hAnsi="Times New Roman"/>
          <w:sz w:val="24"/>
          <w:szCs w:val="24"/>
          <w:lang w:val="bg-BG"/>
        </w:rPr>
        <w:t>„Петрол сървис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>“ ЕООД притежава регистрационен докумен</w:t>
      </w:r>
      <w:r w:rsidR="006E2508"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или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нает транспорт</w:t>
      </w:r>
      <w:r w:rsidR="006E25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чрез договор с лица, притежаващи </w:t>
      </w:r>
      <w:r w:rsidR="00955ECB" w:rsidRPr="007E224A">
        <w:rPr>
          <w:rFonts w:ascii="Times New Roman" w:hAnsi="Times New Roman"/>
          <w:sz w:val="24"/>
          <w:szCs w:val="24"/>
        </w:rPr>
        <w:t>регистрационен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документ за 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събиране и </w:t>
      </w:r>
      <w:r w:rsidRPr="007E224A">
        <w:rPr>
          <w:rFonts w:ascii="Times New Roman" w:hAnsi="Times New Roman"/>
          <w:sz w:val="24"/>
          <w:szCs w:val="24"/>
          <w:lang w:val="bg-BG"/>
        </w:rPr>
        <w:t>транспортиране на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отпадъци.</w:t>
      </w:r>
    </w:p>
    <w:p w:rsidR="00955ECB" w:rsidRPr="007E224A" w:rsidRDefault="003438F8" w:rsidP="00ED17FF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 w:eastAsia="bg-BG"/>
        </w:rPr>
        <w:t>Възложителят да извършва описаната дейност със пестициди и/ или залежали химикали на площадки на притежателите им (държавни, общински, кооперативни и частни складове), разположени на територия</w:t>
      </w:r>
      <w:r w:rsidR="000C79D8">
        <w:rPr>
          <w:rFonts w:ascii="Times New Roman" w:hAnsi="Times New Roman"/>
          <w:sz w:val="24"/>
          <w:szCs w:val="24"/>
          <w:lang w:val="bg-BG" w:eastAsia="bg-BG"/>
        </w:rPr>
        <w:t>та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>, контролирана от РИОСВ-</w:t>
      </w:r>
      <w:r w:rsidRPr="007E224A">
        <w:rPr>
          <w:rFonts w:ascii="Times New Roman" w:hAnsi="Times New Roman"/>
          <w:sz w:val="24"/>
          <w:szCs w:val="24"/>
          <w:lang w:eastAsia="bg-BG"/>
        </w:rPr>
        <w:t>Пловдив</w:t>
      </w:r>
      <w:r w:rsidRPr="007E224A">
        <w:rPr>
          <w:rFonts w:ascii="Times New Roman" w:hAnsi="Times New Roman"/>
          <w:sz w:val="24"/>
          <w:szCs w:val="24"/>
          <w:lang w:val="bg-BG"/>
        </w:rPr>
        <w:t>.</w:t>
      </w:r>
    </w:p>
    <w:p w:rsidR="00841F79" w:rsidRPr="007E224A" w:rsidRDefault="00841F79" w:rsidP="00841F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 xml:space="preserve">Тези дейности да се извършват ръчно или полу-механизирано от квалифициран персонал (максимум до 10 души), снабден с работно облекло и лични предпазни средства в зависимост 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от вида на отпадъците, които 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се препакетират. </w:t>
      </w:r>
    </w:p>
    <w:p w:rsidR="00841F79" w:rsidRPr="007E224A" w:rsidRDefault="00ED17FF" w:rsidP="00841F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Във връзка със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 здравословни</w:t>
      </w:r>
      <w:r w:rsidRPr="007E224A">
        <w:rPr>
          <w:rFonts w:ascii="Times New Roman" w:hAnsi="Times New Roman"/>
          <w:sz w:val="24"/>
          <w:szCs w:val="24"/>
          <w:lang w:val="bg-BG"/>
        </w:rPr>
        <w:t>те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 и безопасни  условия на труд и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на основание на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 Наредбата за третиране и транспортиране на производствени и опасни отпадъци, дневното количество отп</w:t>
      </w:r>
      <w:r w:rsidRPr="007E224A">
        <w:rPr>
          <w:rFonts w:ascii="Times New Roman" w:hAnsi="Times New Roman"/>
          <w:sz w:val="24"/>
          <w:szCs w:val="24"/>
          <w:lang w:val="bg-BG"/>
        </w:rPr>
        <w:t>адъци, които да се препакетира</w:t>
      </w:r>
      <w:r w:rsidR="000C79D8">
        <w:rPr>
          <w:rFonts w:ascii="Times New Roman" w:hAnsi="Times New Roman"/>
          <w:sz w:val="24"/>
          <w:szCs w:val="24"/>
          <w:lang w:val="bg-BG"/>
        </w:rPr>
        <w:t>т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 да бъде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до 9 тона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.</w:t>
      </w:r>
    </w:p>
    <w:p w:rsidR="00841F79" w:rsidRPr="007E224A" w:rsidRDefault="00841F79" w:rsidP="00841F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При извършването на дейности D13 и D14 да се използва следното помощно оборудване и опаковки:</w:t>
      </w:r>
    </w:p>
    <w:p w:rsidR="00841F79" w:rsidRPr="007E224A" w:rsidRDefault="00841F79" w:rsidP="00ED17FF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Опаковки – бидони, кутии,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бутилки за газове под налягане</w:t>
      </w:r>
    </w:p>
    <w:p w:rsidR="00841F79" w:rsidRPr="007E224A" w:rsidRDefault="00841F79" w:rsidP="00ED17FF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Ръчни инструменти – за прегрупиране и препакетиране</w:t>
      </w:r>
    </w:p>
    <w:p w:rsidR="00841F79" w:rsidRPr="007E224A" w:rsidRDefault="00841F79" w:rsidP="00ED17FF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Помпи за преливане на газове</w:t>
      </w:r>
    </w:p>
    <w:p w:rsidR="00841F79" w:rsidRDefault="00841F79" w:rsidP="00ED17FF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Транспалетна количка и транспалетна количка – везна – за преместване, претегляне и нареждане на запълнените опаковки.</w:t>
      </w:r>
    </w:p>
    <w:p w:rsidR="006E2508" w:rsidRPr="007E224A" w:rsidRDefault="006E2508" w:rsidP="00ED17FF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Платформена везна 2000 кг</w:t>
      </w:r>
    </w:p>
    <w:p w:rsidR="00955ECB" w:rsidRPr="007E224A" w:rsidRDefault="00955ECB" w:rsidP="00955ECB">
      <w:pPr>
        <w:overflowPunct/>
        <w:autoSpaceDE/>
        <w:autoSpaceDN/>
        <w:adjustRightInd/>
        <w:ind w:right="105"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1" w:name="_Hlk494797979"/>
    </w:p>
    <w:p w:rsidR="00955ECB" w:rsidRPr="007E224A" w:rsidRDefault="00955ECB" w:rsidP="00955EC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  <w:t>1. Третиране на агрохимични отпадъци/ пестициди в контейнери/ друг вид опаковка с ненарушена цялост</w:t>
      </w: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О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т всеки контейнер с пестициди  в съответния склад да бъде взета средна проба и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бъде анализирана за съдържание на Cl.</w:t>
      </w:r>
    </w:p>
    <w:p w:rsidR="00955ECB" w:rsidRPr="007E224A" w:rsidRDefault="00841F79" w:rsidP="00955EC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бъде извършено разделяне на течните от твърдите пестициди.</w:t>
      </w:r>
    </w:p>
    <w:p w:rsidR="00955ECB" w:rsidRPr="007E224A" w:rsidRDefault="00841F79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Течните пестициди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бъдат втвърдявани на място със зеолит или друг подходящ втвърдител.</w:t>
      </w:r>
    </w:p>
    <w:p w:rsidR="00955ECB" w:rsidRPr="007E224A" w:rsidRDefault="00841F79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Съдържимото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бъде прехвърлено в пластмасови бидони с об</w:t>
      </w:r>
      <w:r w:rsidRPr="007E224A">
        <w:rPr>
          <w:rFonts w:ascii="Times New Roman" w:hAnsi="Times New Roman"/>
          <w:sz w:val="24"/>
          <w:szCs w:val="24"/>
          <w:lang w:val="bg-BG"/>
        </w:rPr>
        <w:t>ем 50/ 200 литра. Всеки бидон да се измери и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бъде етикетиран с баркод, описващ датата и часа на преопаковането, както и точното количество в kg. След излизането на анализа за съдържа</w:t>
      </w:r>
      <w:r w:rsidRPr="007E224A">
        <w:rPr>
          <w:rFonts w:ascii="Times New Roman" w:hAnsi="Times New Roman"/>
          <w:sz w:val="24"/>
          <w:szCs w:val="24"/>
          <w:lang w:val="bg-BG"/>
        </w:rPr>
        <w:t>ние на хлор към всеки бар-код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бъде добавено и хлорното съдър</w:t>
      </w:r>
      <w:r w:rsidRPr="007E224A">
        <w:rPr>
          <w:rFonts w:ascii="Times New Roman" w:hAnsi="Times New Roman"/>
          <w:sz w:val="24"/>
          <w:szCs w:val="24"/>
          <w:lang w:val="bg-BG"/>
        </w:rPr>
        <w:t>жание в %. Копие от протокола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придружава бидона при транспортиран</w:t>
      </w:r>
      <w:r w:rsidRPr="007E224A">
        <w:rPr>
          <w:rFonts w:ascii="Times New Roman" w:hAnsi="Times New Roman"/>
          <w:sz w:val="24"/>
          <w:szCs w:val="24"/>
          <w:lang w:val="bg-BG"/>
        </w:rPr>
        <w:t>е. Оригиналите на протоколите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се съхранява</w:t>
      </w:r>
      <w:r w:rsidR="006E2508">
        <w:rPr>
          <w:rFonts w:ascii="Times New Roman" w:hAnsi="Times New Roman"/>
          <w:sz w:val="24"/>
          <w:szCs w:val="24"/>
          <w:lang w:val="bg-BG"/>
        </w:rPr>
        <w:t>т на площадката (в гр. Монтана) на „Петрол сървис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>“ ЕООД, за която има издадено разрешително съгласно чл.35, ал.1, т.11 от ЗУО.</w:t>
      </w: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Измерените и етикетирани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 бидони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се подготвят за транспортиране, да се </w:t>
      </w:r>
      <w:r w:rsidRPr="007E224A">
        <w:rPr>
          <w:rFonts w:ascii="Times New Roman" w:hAnsi="Times New Roman"/>
          <w:sz w:val="24"/>
          <w:szCs w:val="24"/>
          <w:lang w:val="bg-BG"/>
        </w:rPr>
        <w:t>поставят вурху п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алети и опаковат със стреч</w:t>
      </w:r>
      <w:r w:rsidR="000C79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фолио, да се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подреждат на групи според определеното хлорн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о съдържание. Същите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бъдат транспортирани с подходящ транспорт (затворени автомобили с ремарке или полуремарке) директно до </w:t>
      </w:r>
      <w:r w:rsidR="000C79D8">
        <w:rPr>
          <w:rFonts w:ascii="Times New Roman" w:hAnsi="Times New Roman"/>
          <w:sz w:val="24"/>
          <w:szCs w:val="24"/>
          <w:lang w:val="bg-BG"/>
        </w:rPr>
        <w:t>инси</w:t>
      </w:r>
      <w:r w:rsidRPr="007E224A">
        <w:rPr>
          <w:rFonts w:ascii="Times New Roman" w:hAnsi="Times New Roman"/>
          <w:sz w:val="24"/>
          <w:szCs w:val="24"/>
          <w:lang w:val="bg-BG"/>
        </w:rPr>
        <w:t>нератор в страна членка на ЕС за крайно обезвреждане и</w:t>
      </w:r>
      <w:r w:rsidR="006E2508">
        <w:rPr>
          <w:rFonts w:ascii="Times New Roman" w:hAnsi="Times New Roman"/>
          <w:sz w:val="24"/>
          <w:szCs w:val="24"/>
          <w:lang w:val="bg-BG"/>
        </w:rPr>
        <w:t>ли до площадката на „Петрол сървис</w:t>
      </w:r>
      <w:r w:rsidRPr="007E224A">
        <w:rPr>
          <w:rFonts w:ascii="Times New Roman" w:hAnsi="Times New Roman"/>
          <w:sz w:val="24"/>
          <w:szCs w:val="24"/>
          <w:lang w:val="bg-BG"/>
        </w:rPr>
        <w:t>“ ЕООД за съхраняване в закрита обособе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на площадка до момента, в който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бъдат предадени за транспортиране </w:t>
      </w:r>
      <w:r w:rsidRPr="007E224A">
        <w:rPr>
          <w:rFonts w:ascii="Times New Roman" w:hAnsi="Times New Roman"/>
          <w:sz w:val="24"/>
          <w:szCs w:val="24"/>
          <w:lang w:val="bg-BG"/>
        </w:rPr>
        <w:lastRenderedPageBreak/>
        <w:t xml:space="preserve">до инсталацията за обезвреждане в страна членка на ЕС. 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Опаковането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се извършва в зависимост от вида на опасните отпадъци и класификацията по ADR.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 xml:space="preserve"> Предаването и транспортирането на опасните отпадъци извън България да става след получаване на нотификация съгласно Регламент 1013/2006/EC за транспортиране на отпадъци и при спазване на изискванията на Международната спогодба за превоз на опасни товари ADR.</w:t>
      </w: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Освободените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 xml:space="preserve"> пластмас</w:t>
      </w:r>
      <w:r w:rsidR="00841F79" w:rsidRPr="007E224A">
        <w:rPr>
          <w:rFonts w:ascii="Times New Roman" w:hAnsi="Times New Roman"/>
          <w:sz w:val="24"/>
          <w:szCs w:val="24"/>
          <w:lang w:val="bg-BG" w:eastAsia="bg-BG"/>
        </w:rPr>
        <w:t>ови опаковки или части от тях да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 xml:space="preserve"> са в затворени контейнери и </w:t>
      </w:r>
      <w:r w:rsidR="00841F79" w:rsidRPr="007E224A">
        <w:rPr>
          <w:rFonts w:ascii="Times New Roman" w:hAnsi="Times New Roman"/>
          <w:sz w:val="24"/>
          <w:szCs w:val="24"/>
          <w:lang w:val="bg-BG" w:eastAsia="bg-BG"/>
        </w:rPr>
        <w:t xml:space="preserve">да се 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>опаковат по начин</w:t>
      </w:r>
      <w:r w:rsidR="00841F79" w:rsidRPr="007E224A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 xml:space="preserve"> предотвратяващ замърсяване на околната среда по време на съхраняване и/ или транспорт. Същите </w:t>
      </w:r>
      <w:r w:rsidR="00841F79" w:rsidRPr="007E224A">
        <w:rPr>
          <w:rFonts w:ascii="Times New Roman" w:hAnsi="Times New Roman"/>
          <w:sz w:val="24"/>
          <w:szCs w:val="24"/>
          <w:lang w:val="bg-BG" w:eastAsia="bg-BG"/>
        </w:rPr>
        <w:t>да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 xml:space="preserve"> се </w:t>
      </w:r>
      <w:r w:rsidRPr="007E224A">
        <w:rPr>
          <w:rFonts w:ascii="Times New Roman" w:hAnsi="Times New Roman"/>
          <w:sz w:val="24"/>
          <w:szCs w:val="24"/>
          <w:lang w:val="bg-BG"/>
        </w:rPr>
        <w:t>превозват с подходящ транспорт (затворени автомобили с ремарке или полуремарке) директно до инсинератор в страна членка на ЕС за крайно обезвреждане и</w:t>
      </w:r>
      <w:r w:rsidR="006E2508">
        <w:rPr>
          <w:rFonts w:ascii="Times New Roman" w:hAnsi="Times New Roman"/>
          <w:sz w:val="24"/>
          <w:szCs w:val="24"/>
          <w:lang w:val="bg-BG"/>
        </w:rPr>
        <w:t>ли до площадката на „Петрол сървис</w:t>
      </w:r>
      <w:r w:rsidRPr="007E224A">
        <w:rPr>
          <w:rFonts w:ascii="Times New Roman" w:hAnsi="Times New Roman"/>
          <w:sz w:val="24"/>
          <w:szCs w:val="24"/>
          <w:lang w:val="bg-BG"/>
        </w:rPr>
        <w:t>“ ЕООД за съхраняване в закрита обос</w:t>
      </w:r>
      <w:r w:rsidR="00841F79" w:rsidRPr="007E224A">
        <w:rPr>
          <w:rFonts w:ascii="Times New Roman" w:hAnsi="Times New Roman"/>
          <w:sz w:val="24"/>
          <w:szCs w:val="24"/>
          <w:lang w:val="bg-BG"/>
        </w:rPr>
        <w:t>обена площадка  до момента, в който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бъдат предадени за транспортиране до инсталацията за обезвреждане в страна членка на ЕС</w:t>
      </w:r>
      <w:r w:rsidRPr="007E224A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955ECB" w:rsidRPr="007E224A" w:rsidRDefault="00841F79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Дейностите 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се извършват от квалифициран и обучен персонал</w:t>
      </w:r>
      <w:r w:rsidR="000C79D8">
        <w:rPr>
          <w:rFonts w:ascii="Times New Roman" w:hAnsi="Times New Roman"/>
          <w:sz w:val="24"/>
          <w:szCs w:val="24"/>
          <w:lang w:val="bg-BG"/>
        </w:rPr>
        <w:t>,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съгласно работна инструкция при спазване на здравословни и безопасни условия на </w:t>
      </w:r>
      <w:r w:rsidRPr="007E224A">
        <w:rPr>
          <w:rFonts w:ascii="Times New Roman" w:hAnsi="Times New Roman"/>
          <w:sz w:val="24"/>
          <w:szCs w:val="24"/>
          <w:lang w:val="bg-BG"/>
        </w:rPr>
        <w:t>труда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 xml:space="preserve"> и противопожарните изисквания.</w:t>
      </w:r>
    </w:p>
    <w:p w:rsidR="00955ECB" w:rsidRPr="007E224A" w:rsidRDefault="00955ECB" w:rsidP="00955EC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55ECB" w:rsidRPr="007E224A" w:rsidRDefault="00805BE2" w:rsidP="00955EC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noProof/>
          <w:color w:val="000000"/>
          <w:lang w:val="bg-BG" w:eastAsia="bg-BG"/>
        </w:rPr>
        <w:drawing>
          <wp:inline distT="0" distB="0" distL="0" distR="0">
            <wp:extent cx="6486525" cy="4019550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F7" w:rsidRPr="007E224A" w:rsidRDefault="000E10F7" w:rsidP="00955EC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59"/>
        <w:gridCol w:w="4821"/>
      </w:tblGrid>
      <w:tr w:rsidR="00955ECB" w:rsidRPr="007E224A" w:rsidTr="00ED17FF">
        <w:tc>
          <w:tcPr>
            <w:tcW w:w="2093" w:type="dxa"/>
            <w:shd w:val="clear" w:color="auto" w:fill="auto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код на отпадъка</w:t>
            </w:r>
          </w:p>
        </w:tc>
        <w:tc>
          <w:tcPr>
            <w:tcW w:w="3259" w:type="dxa"/>
            <w:shd w:val="clear" w:color="auto" w:fill="auto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отпадъка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опаковки, които ще се използват</w:t>
            </w:r>
          </w:p>
        </w:tc>
      </w:tr>
      <w:tr w:rsidR="00955ECB" w:rsidRPr="007E224A" w:rsidTr="00ED17FF">
        <w:tc>
          <w:tcPr>
            <w:tcW w:w="2093" w:type="dxa"/>
            <w:shd w:val="clear" w:color="auto" w:fill="auto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955ECB" w:rsidRPr="007E224A" w:rsidTr="00ED17FF">
        <w:tc>
          <w:tcPr>
            <w:tcW w:w="2093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02 01 08*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t>Агрохимични отпадъци, съдържащи опасни вещества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8F725E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преопаковането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в специализирани опаковки за опасни товари, отговарящи на изискванията на Европейската спогодба за превоз на опасни товари по шосе (ADR) в зависимост от агрегатното им състояние, химически състав и свойства и изискванията на съоръженията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, където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крайно обезвреждане</w:t>
            </w:r>
            <w:r w:rsidR="000C79D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бидони – 50л/ 200 л</w:t>
            </w:r>
          </w:p>
        </w:tc>
      </w:tr>
      <w:tr w:rsidR="00955ECB" w:rsidRPr="007E224A" w:rsidTr="00ED17FF">
        <w:tc>
          <w:tcPr>
            <w:tcW w:w="2093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  <w:lastRenderedPageBreak/>
              <w:t>15 01 10*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55ECB" w:rsidRPr="007E224A" w:rsidRDefault="00955ECB" w:rsidP="00955ECB">
            <w:pPr>
              <w:suppressAutoHyphens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bg-BG" w:eastAsia="zh-CN"/>
              </w:rPr>
            </w:pPr>
            <w:r w:rsidRPr="007E224A">
              <w:rPr>
                <w:rFonts w:ascii="Times New Roman" w:hAnsi="Times New Roman"/>
                <w:kern w:val="3"/>
                <w:sz w:val="24"/>
                <w:szCs w:val="24"/>
                <w:lang w:val="bg-BG" w:eastAsia="zh-CN"/>
              </w:rPr>
              <w:t>Опаковки, съдържащи остатъци от опасни вещества или замърсени с опасни вещества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8F725E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преопаковането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в специализирани опаковки за опасни товари, отговарящи на изискванията на Европейската спогодба за превоз на опасни товари по шосе (ADR) в зависимост от агрегатното им състояние, химически състав и свойства и изисква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нията на съоръженията, където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крайно обезвреждане</w:t>
            </w:r>
          </w:p>
          <w:p w:rsidR="00955ECB" w:rsidRPr="007E224A" w:rsidRDefault="000C79D8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пластмасови кутии – 200 и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бидони – 200 л</w:t>
            </w:r>
          </w:p>
        </w:tc>
      </w:tr>
      <w:tr w:rsidR="00955ECB" w:rsidRPr="007E224A" w:rsidTr="00ED17FF">
        <w:tc>
          <w:tcPr>
            <w:tcW w:w="2093" w:type="dxa"/>
            <w:shd w:val="clear" w:color="auto" w:fill="auto"/>
            <w:vAlign w:val="center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20 01 19*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55ECB" w:rsidRPr="007E224A" w:rsidRDefault="00955ECB" w:rsidP="00955E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Пестициди</w:t>
            </w:r>
          </w:p>
        </w:tc>
        <w:tc>
          <w:tcPr>
            <w:tcW w:w="4821" w:type="dxa"/>
            <w:shd w:val="clear" w:color="auto" w:fill="auto"/>
          </w:tcPr>
          <w:p w:rsidR="00955ECB" w:rsidRPr="007E224A" w:rsidRDefault="008F725E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преопаковането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в специализирани опаковки за опасни товари, отговарящи на изискванията на Европейската спогодба за превоз на опасни товари по шосе (ADR) в зависимост от агрегатното им състояние, химически състав и свойства и изисква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нията на съоръженията, където да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извършва крайно обезвреждане</w:t>
            </w:r>
          </w:p>
          <w:p w:rsidR="00955ECB" w:rsidRPr="007E224A" w:rsidRDefault="000C79D8" w:rsidP="00955EC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 w:rsidR="00955ECB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бидони – 50л/ 200 л</w:t>
            </w:r>
          </w:p>
        </w:tc>
      </w:tr>
    </w:tbl>
    <w:p w:rsidR="00955ECB" w:rsidRPr="007E224A" w:rsidRDefault="00955ECB" w:rsidP="008F725E">
      <w:pPr>
        <w:overflowPunct/>
        <w:autoSpaceDE/>
        <w:autoSpaceDN/>
        <w:adjustRightInd/>
        <w:spacing w:before="24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2" w:name="_Hlk494797999"/>
      <w:bookmarkEnd w:id="1"/>
    </w:p>
    <w:p w:rsidR="00955ECB" w:rsidRPr="007E224A" w:rsidRDefault="00955ECB" w:rsidP="00955ECB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7E224A">
        <w:rPr>
          <w:rFonts w:ascii="Times New Roman" w:eastAsia="Calibri" w:hAnsi="Times New Roman"/>
          <w:sz w:val="24"/>
          <w:szCs w:val="24"/>
          <w:lang w:val="bg-BG"/>
        </w:rPr>
        <w:t>Всички генерирани отп</w:t>
      </w:r>
      <w:r w:rsidR="008F725E" w:rsidRPr="007E224A">
        <w:rPr>
          <w:rFonts w:ascii="Times New Roman" w:eastAsia="Calibri" w:hAnsi="Times New Roman"/>
          <w:sz w:val="24"/>
          <w:szCs w:val="24"/>
          <w:lang w:val="bg-BG"/>
        </w:rPr>
        <w:t>адъци на съответните площадки да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се събират разделно</w:t>
      </w:r>
      <w:r w:rsidR="008F725E" w:rsidRPr="007E224A">
        <w:rPr>
          <w:rFonts w:ascii="Times New Roman" w:eastAsia="Calibri" w:hAnsi="Times New Roman"/>
          <w:sz w:val="24"/>
          <w:szCs w:val="24"/>
          <w:lang w:val="bg-BG"/>
        </w:rPr>
        <w:t>,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съгласно техния произход, вид, състав и характерни свойства на</w:t>
      </w:r>
      <w:r w:rsidR="000C79D8">
        <w:rPr>
          <w:rFonts w:ascii="Times New Roman" w:eastAsia="Calibri" w:hAnsi="Times New Roman"/>
          <w:sz w:val="24"/>
          <w:szCs w:val="24"/>
          <w:lang w:val="bg-BG"/>
        </w:rPr>
        <w:t xml:space="preserve"> обособени и обозначени места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 xml:space="preserve">, в контейнери и подходящи съдове с </w:t>
      </w:r>
      <w:r w:rsidR="008F725E" w:rsidRPr="007E224A">
        <w:rPr>
          <w:rFonts w:ascii="Times New Roman" w:eastAsia="Calibri" w:hAnsi="Times New Roman"/>
          <w:sz w:val="24"/>
          <w:szCs w:val="24"/>
          <w:lang w:val="bg-BG"/>
        </w:rPr>
        <w:t>обозначителни табели с код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и наименованието на съответния отпадък, съгласно Наредба №2 и в съответствие с изискванията в ЗУО и наредбите, касаещи специфичните отпадъци. </w:t>
      </w:r>
    </w:p>
    <w:p w:rsidR="00955ECB" w:rsidRPr="007E224A" w:rsidRDefault="008F725E" w:rsidP="008F725E">
      <w:pPr>
        <w:tabs>
          <w:tab w:val="left" w:pos="-142"/>
          <w:tab w:val="left" w:pos="27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 xml:space="preserve">Да се предават </w:t>
      </w:r>
      <w:r w:rsidR="00955ECB" w:rsidRPr="007E224A">
        <w:rPr>
          <w:rFonts w:ascii="Times New Roman" w:hAnsi="Times New Roman"/>
          <w:sz w:val="24"/>
          <w:szCs w:val="24"/>
          <w:lang w:val="bg-BG"/>
        </w:rPr>
        <w:t>на ф</w:t>
      </w:r>
      <w:r w:rsidRPr="007E224A">
        <w:rPr>
          <w:rFonts w:ascii="Times New Roman" w:hAnsi="Times New Roman"/>
          <w:sz w:val="24"/>
          <w:szCs w:val="24"/>
          <w:lang w:val="bg-BG"/>
        </w:rPr>
        <w:t>ирми, притежаващи разрешителни документи по чл. 35 от ЗУО, съгласно сключен писмен договор.</w:t>
      </w:r>
      <w:bookmarkEnd w:id="2"/>
    </w:p>
    <w:p w:rsidR="00955ECB" w:rsidRPr="007E224A" w:rsidRDefault="00955ECB" w:rsidP="00B104A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3DFC" w:rsidRPr="007E224A" w:rsidRDefault="005C3DFC" w:rsidP="00B104AC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>III.</w:t>
      </w:r>
      <w:r w:rsidRPr="007E224A">
        <w:rPr>
          <w:rFonts w:ascii="Times New Roman" w:hAnsi="Times New Roman"/>
          <w:b/>
          <w:sz w:val="24"/>
          <w:szCs w:val="24"/>
          <w:lang w:val="bg-BG"/>
        </w:rPr>
        <w:t xml:space="preserve"> Условия, при които да се извършват дейностите по третиране на отпадъци</w:t>
      </w:r>
    </w:p>
    <w:p w:rsidR="00ED17FF" w:rsidRPr="007E224A" w:rsidRDefault="00ED17FF" w:rsidP="00B104AC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0A3199" w:rsidRPr="007E224A" w:rsidRDefault="00764E63" w:rsidP="000A3199">
      <w:pPr>
        <w:numPr>
          <w:ilvl w:val="0"/>
          <w:numId w:val="41"/>
        </w:numPr>
        <w:overflowPunct/>
        <w:autoSpaceDE/>
        <w:autoSpaceDN/>
        <w:adjustRightInd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Д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ружеството 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се ръководи от принципа за прилагане на установената йерархия по управление на отпадъците и 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>следва като приоритет постигане и прилагане на екологосъобразното им третира</w:t>
      </w:r>
      <w:r w:rsidRPr="007E224A">
        <w:rPr>
          <w:rFonts w:ascii="Times New Roman" w:hAnsi="Times New Roman"/>
          <w:sz w:val="24"/>
          <w:szCs w:val="24"/>
          <w:lang w:val="bg-BG"/>
        </w:rPr>
        <w:t>не.</w:t>
      </w:r>
    </w:p>
    <w:p w:rsidR="00764E63" w:rsidRPr="007E224A" w:rsidRDefault="00764E63" w:rsidP="00ED17FF">
      <w:pPr>
        <w:numPr>
          <w:ilvl w:val="0"/>
          <w:numId w:val="41"/>
        </w:numPr>
        <w:overflowPunct/>
        <w:autoSpaceDE/>
        <w:autoSpaceDN/>
        <w:adjustRightInd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>За де</w:t>
      </w:r>
      <w:r w:rsidRPr="007E224A">
        <w:rPr>
          <w:rFonts w:ascii="Times New Roman" w:hAnsi="Times New Roman"/>
          <w:sz w:val="24"/>
          <w:szCs w:val="24"/>
          <w:lang w:val="bg-BG"/>
        </w:rPr>
        <w:t>йността на съответната площадка да се предвиждат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следните </w:t>
      </w:r>
      <w:r w:rsidR="00ED17FF" w:rsidRPr="007E224A">
        <w:rPr>
          <w:rFonts w:ascii="Times New Roman" w:hAnsi="Times New Roman"/>
          <w:b/>
          <w:sz w:val="24"/>
          <w:szCs w:val="24"/>
          <w:lang w:val="bg-BG"/>
        </w:rPr>
        <w:t>мерки:</w:t>
      </w:r>
    </w:p>
    <w:p w:rsidR="00764E63" w:rsidRPr="007E224A" w:rsidRDefault="00ED17FF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водене на строга отчетност по видовете дейности;</w:t>
      </w:r>
    </w:p>
    <w:p w:rsidR="00764E63" w:rsidRPr="007E224A" w:rsidRDefault="00ED17FF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системно обучение на персонала;</w:t>
      </w:r>
    </w:p>
    <w:p w:rsidR="00764E63" w:rsidRPr="007E224A" w:rsidRDefault="00764E63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дейностите по преопаковане да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се извършва само при установено нарушение на опако</w:t>
      </w:r>
      <w:r w:rsidRPr="007E224A">
        <w:rPr>
          <w:rFonts w:ascii="Times New Roman" w:hAnsi="Times New Roman"/>
          <w:sz w:val="24"/>
          <w:szCs w:val="24"/>
          <w:lang w:val="bg-BG"/>
        </w:rPr>
        <w:t>вките и на закрито в съответния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склад;</w:t>
      </w:r>
    </w:p>
    <w:p w:rsidR="00ED17FF" w:rsidRPr="007E224A" w:rsidRDefault="00764E63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обслужващият персонал да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ползва противопожарни маски и подходящо работно и защитно облекло;</w:t>
      </w:r>
    </w:p>
    <w:p w:rsidR="00ED17FF" w:rsidRPr="007E224A" w:rsidRDefault="00ED17FF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spacing w:before="120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  <w:r w:rsidRPr="007E224A">
        <w:rPr>
          <w:rFonts w:ascii="Times New Roman" w:eastAsia="Calibri" w:hAnsi="Times New Roman"/>
          <w:sz w:val="24"/>
          <w:szCs w:val="24"/>
          <w:lang w:val="bg-BG"/>
        </w:rPr>
        <w:t>Шофьорите на</w:t>
      </w:r>
      <w:r w:rsidR="00764E63"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транспортните средства да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бъдат сертифицирани за прево</w:t>
      </w:r>
      <w:r w:rsidR="000C79D8">
        <w:rPr>
          <w:rFonts w:ascii="Times New Roman" w:eastAsia="Calibri" w:hAnsi="Times New Roman"/>
          <w:sz w:val="24"/>
          <w:szCs w:val="24"/>
          <w:lang w:val="bg-BG"/>
        </w:rPr>
        <w:t xml:space="preserve">з на опасни товари и да не 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>се допускат други на площадката.</w:t>
      </w:r>
    </w:p>
    <w:p w:rsidR="00ED17FF" w:rsidRPr="007E224A" w:rsidRDefault="00ED17FF" w:rsidP="00764E63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spacing w:before="120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  <w:r w:rsidRPr="007E224A">
        <w:rPr>
          <w:rFonts w:ascii="Times New Roman" w:eastAsia="Calibri" w:hAnsi="Times New Roman"/>
          <w:sz w:val="24"/>
          <w:szCs w:val="24"/>
          <w:lang w:val="bg-BG"/>
        </w:rPr>
        <w:t>При разпиляване на твърди пестициди от варели/ бидони с нарушена цяло</w:t>
      </w:r>
      <w:r w:rsidR="00764E63" w:rsidRPr="007E224A">
        <w:rPr>
          <w:rFonts w:ascii="Times New Roman" w:eastAsia="Calibri" w:hAnsi="Times New Roman"/>
          <w:sz w:val="24"/>
          <w:szCs w:val="24"/>
          <w:lang w:val="bg-BG"/>
        </w:rPr>
        <w:t>ст, замърсеното място веднага да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се третира</w:t>
      </w:r>
      <w:r w:rsidR="00764E63" w:rsidRPr="007E224A">
        <w:rPr>
          <w:rFonts w:ascii="Times New Roman" w:eastAsia="Calibri" w:hAnsi="Times New Roman"/>
          <w:sz w:val="24"/>
          <w:szCs w:val="24"/>
          <w:lang w:val="bg-BG"/>
        </w:rPr>
        <w:t>т с аб</w:t>
      </w:r>
      <w:r w:rsidRPr="007E224A">
        <w:rPr>
          <w:rFonts w:ascii="Times New Roman" w:eastAsia="Calibri" w:hAnsi="Times New Roman"/>
          <w:sz w:val="24"/>
          <w:szCs w:val="24"/>
          <w:lang w:val="bg-BG"/>
        </w:rPr>
        <w:t>сорбенти.</w:t>
      </w:r>
    </w:p>
    <w:p w:rsidR="00ED17FF" w:rsidRDefault="00764E63" w:rsidP="00A52A17">
      <w:pPr>
        <w:numPr>
          <w:ilvl w:val="0"/>
          <w:numId w:val="40"/>
        </w:num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spacing w:before="120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  <w:r w:rsidRPr="007E224A">
        <w:rPr>
          <w:rFonts w:ascii="Times New Roman" w:eastAsia="Calibri" w:hAnsi="Times New Roman"/>
          <w:sz w:val="24"/>
          <w:szCs w:val="24"/>
          <w:lang w:val="bg-BG"/>
        </w:rPr>
        <w:t>Да</w:t>
      </w:r>
      <w:r w:rsidR="00ED17FF" w:rsidRPr="007E224A">
        <w:rPr>
          <w:rFonts w:ascii="Times New Roman" w:eastAsia="Calibri" w:hAnsi="Times New Roman"/>
          <w:sz w:val="24"/>
          <w:szCs w:val="24"/>
          <w:lang w:val="bg-BG"/>
        </w:rPr>
        <w:t xml:space="preserve"> се спазват изискванията на Наредбата за съхранение на химични вещества и препарати.</w:t>
      </w:r>
    </w:p>
    <w:p w:rsidR="00A52A17" w:rsidRDefault="00A52A17" w:rsidP="00A52A17">
      <w:p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spacing w:before="120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</w:p>
    <w:p w:rsidR="00A52A17" w:rsidRPr="00A52A17" w:rsidRDefault="00A52A17" w:rsidP="00A52A17">
      <w:pPr>
        <w:tabs>
          <w:tab w:val="left" w:pos="-142"/>
          <w:tab w:val="left" w:pos="0"/>
          <w:tab w:val="left" w:pos="270"/>
        </w:tabs>
        <w:overflowPunct/>
        <w:autoSpaceDE/>
        <w:autoSpaceDN/>
        <w:adjustRightInd/>
        <w:snapToGrid w:val="0"/>
        <w:spacing w:before="120"/>
        <w:jc w:val="both"/>
        <w:textAlignment w:val="center"/>
        <w:rPr>
          <w:rFonts w:ascii="Times New Roman" w:eastAsia="Calibri" w:hAnsi="Times New Roman"/>
          <w:sz w:val="24"/>
          <w:szCs w:val="24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5"/>
        <w:gridCol w:w="6473"/>
      </w:tblGrid>
      <w:tr w:rsidR="00ED17FF" w:rsidRPr="007E224A" w:rsidTr="00ED17FF">
        <w:trPr>
          <w:tblHeader/>
        </w:trPr>
        <w:tc>
          <w:tcPr>
            <w:tcW w:w="3445" w:type="dxa"/>
            <w:shd w:val="clear" w:color="auto" w:fill="BFBFBF"/>
          </w:tcPr>
          <w:p w:rsidR="00ED17FF" w:rsidRPr="007E224A" w:rsidRDefault="00ED17FF" w:rsidP="00ED17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Аварийна ситуация</w:t>
            </w:r>
          </w:p>
        </w:tc>
        <w:tc>
          <w:tcPr>
            <w:tcW w:w="6473" w:type="dxa"/>
            <w:shd w:val="clear" w:color="auto" w:fill="BFBFBF"/>
          </w:tcPr>
          <w:p w:rsidR="00ED17FF" w:rsidRPr="007E224A" w:rsidRDefault="00ED17FF" w:rsidP="00ED17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Мерки за предотвратяване на риска</w:t>
            </w:r>
          </w:p>
        </w:tc>
      </w:tr>
      <w:tr w:rsidR="00ED17FF" w:rsidRPr="007E224A" w:rsidTr="00ED17FF">
        <w:tc>
          <w:tcPr>
            <w:tcW w:w="3445" w:type="dxa"/>
            <w:shd w:val="clear" w:color="auto" w:fill="auto"/>
          </w:tcPr>
          <w:p w:rsidR="00ED17FF" w:rsidRPr="007E224A" w:rsidRDefault="00ED17FF" w:rsidP="00ED17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разпиляване на втвърдени пестициди</w:t>
            </w:r>
          </w:p>
        </w:tc>
        <w:tc>
          <w:tcPr>
            <w:tcW w:w="6473" w:type="dxa"/>
            <w:shd w:val="clear" w:color="auto" w:fill="auto"/>
          </w:tcPr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Прилагане на работна инструкция за третиране и съхраняване на опасните отпадъци. 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техника за механично автоматизирано събиране на разпилени опасни отпадъци и тяхното преместване в подходящи съ</w:t>
            </w:r>
            <w:r w:rsidR="00764E63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дове (варели/ бидони). Същите да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пр</w:t>
            </w:r>
            <w:r w:rsidR="00764E63"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едават за обезвреждане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заедно с останалите отпадъци.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преопаковане и прегрупиране, както и </w:t>
            </w:r>
            <w:r w:rsidR="00764E63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съхраняването да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извършат на закрита площадка при плътно затворени помещения (врати/ прозорци).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Използването на специални контейнери с каптажно дъно</w:t>
            </w:r>
          </w:p>
        </w:tc>
      </w:tr>
      <w:tr w:rsidR="00ED17FF" w:rsidRPr="007E224A" w:rsidTr="00ED17FF">
        <w:tc>
          <w:tcPr>
            <w:tcW w:w="3445" w:type="dxa"/>
            <w:shd w:val="clear" w:color="auto" w:fill="auto"/>
          </w:tcPr>
          <w:p w:rsidR="00ED17FF" w:rsidRPr="007E224A" w:rsidRDefault="00ED17FF" w:rsidP="00ED17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попадане на пестициди в почвата и/ или повърхностните/ подземните води</w:t>
            </w:r>
          </w:p>
        </w:tc>
        <w:tc>
          <w:tcPr>
            <w:tcW w:w="6473" w:type="dxa"/>
            <w:shd w:val="clear" w:color="auto" w:fill="auto"/>
          </w:tcPr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Прилагане на работна инструкция за третиране и съхраняване на опасните отпадъци. 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Дейностите по преопаковане и прегру</w:t>
            </w:r>
            <w:r w:rsidR="007F79A6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пиране, както и съхраняването да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извършат на закрито в съответният склад.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Съхраняването на отпадъците в специализирани контейнери.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Бетонирана настил</w:t>
            </w:r>
            <w:r w:rsidR="007F79A6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а в помещението и без достъп до канализация. Около сграда</w:t>
            </w:r>
            <w:r w:rsidR="007F79A6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та,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къде</w:t>
            </w:r>
            <w:r w:rsidR="007F79A6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то ще се извършват дейностите да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полага водонепропускливо и устойчиво на механично въздействие и </w:t>
            </w:r>
            <w:r w:rsidRPr="007E224A">
              <w:rPr>
                <w:rFonts w:ascii="Times New Roman" w:hAnsi="Times New Roman"/>
                <w:sz w:val="24"/>
                <w:szCs w:val="24"/>
              </w:rPr>
              <w:t xml:space="preserve">UV 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защита фолио.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Обозначаване </w:t>
            </w:r>
            <w:r w:rsidR="007F79A6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по подходящ начин на засегнатия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участък. Механично </w:t>
            </w:r>
            <w:r w:rsidR="007F79A6"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отнемане на почва от замърсения</w:t>
            </w: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участък. Вземане на почвена проба и анализирането ѝ.</w:t>
            </w:r>
          </w:p>
        </w:tc>
      </w:tr>
      <w:tr w:rsidR="00ED17FF" w:rsidRPr="007E224A" w:rsidTr="00ED17FF">
        <w:tc>
          <w:tcPr>
            <w:tcW w:w="3445" w:type="dxa"/>
            <w:shd w:val="clear" w:color="auto" w:fill="auto"/>
          </w:tcPr>
          <w:p w:rsidR="00ED17FF" w:rsidRPr="007E224A" w:rsidRDefault="00ED17FF" w:rsidP="00ED17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емитиране на опасни химични вещества и/ или взрив/ пожар, вследствие на пътнотранспортно произшествие (ПТП)</w:t>
            </w:r>
          </w:p>
        </w:tc>
        <w:tc>
          <w:tcPr>
            <w:tcW w:w="6473" w:type="dxa"/>
            <w:shd w:val="clear" w:color="auto" w:fill="auto"/>
          </w:tcPr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Информиране на компетентните органи за наличието на опасни отпадъци със съответния код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Временно преустановяване на дейностите с опасните отпадъци до изясняване на ситуацията. Получаване на актуална информация от компетентните органи относно риска за района на съответната площадка, където се извършват дейности за третиране на опасни отпадъци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Осигуряване на лични предпазни средства и тяхното поддържане в добро състояние.</w:t>
            </w:r>
          </w:p>
          <w:p w:rsidR="00ED17FF" w:rsidRPr="007E224A" w:rsidRDefault="00ED17FF" w:rsidP="00ED17FF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spacing w:line="276" w:lineRule="auto"/>
              <w:ind w:left="383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E224A">
              <w:rPr>
                <w:rFonts w:ascii="Times New Roman" w:hAnsi="Times New Roman"/>
                <w:sz w:val="24"/>
                <w:szCs w:val="24"/>
                <w:lang w:val="bg-BG"/>
              </w:rPr>
              <w:t>Изготвяне и прилагане на Авариен план.</w:t>
            </w:r>
          </w:p>
        </w:tc>
      </w:tr>
    </w:tbl>
    <w:p w:rsidR="00ED17FF" w:rsidRDefault="00ED17FF" w:rsidP="00ED17FF">
      <w:pPr>
        <w:overflowPunct/>
        <w:autoSpaceDE/>
        <w:autoSpaceDN/>
        <w:adjustRightInd/>
        <w:spacing w:before="120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0E10F7" w:rsidRPr="007E224A" w:rsidRDefault="000E10F7" w:rsidP="00ED17FF">
      <w:pPr>
        <w:overflowPunct/>
        <w:autoSpaceDE/>
        <w:autoSpaceDN/>
        <w:adjustRightInd/>
        <w:spacing w:before="120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ED17FF" w:rsidRPr="007E224A" w:rsidRDefault="00ED17FF" w:rsidP="000A3199">
      <w:pPr>
        <w:numPr>
          <w:ilvl w:val="0"/>
          <w:numId w:val="41"/>
        </w:numPr>
        <w:overflowPunct/>
        <w:autoSpaceDE/>
        <w:autoSpaceDN/>
        <w:adjustRightInd/>
        <w:spacing w:before="120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За предотвратяване на аварийни ситуаци</w:t>
      </w:r>
      <w:r w:rsidR="007F79A6" w:rsidRPr="007E224A">
        <w:rPr>
          <w:rFonts w:ascii="Times New Roman" w:hAnsi="Times New Roman"/>
          <w:sz w:val="24"/>
          <w:szCs w:val="24"/>
          <w:lang w:val="bg-BG"/>
        </w:rPr>
        <w:t>и и/ или последствията от нея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се прилагат следните мерки:</w:t>
      </w:r>
    </w:p>
    <w:p w:rsidR="00ED17FF" w:rsidRPr="007E224A" w:rsidRDefault="00ED17FF" w:rsidP="00ED17FF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изготвяне и прилагане на Авариен план с мерки за ограничаване на риска от аварии, в т.ч. от ПТП с превоз на опасни химични вещества и наводнения.</w:t>
      </w:r>
    </w:p>
    <w:p w:rsidR="00ED17FF" w:rsidRPr="007E224A" w:rsidRDefault="00ED17FF" w:rsidP="00ED17FF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lastRenderedPageBreak/>
        <w:t>всички операции по преопаковане</w:t>
      </w:r>
      <w:r w:rsidR="007F79A6" w:rsidRPr="007E224A">
        <w:rPr>
          <w:rFonts w:ascii="Times New Roman" w:hAnsi="Times New Roman"/>
          <w:sz w:val="24"/>
          <w:szCs w:val="24"/>
          <w:lang w:val="bg-BG"/>
        </w:rPr>
        <w:t xml:space="preserve"> с дейност с код D13 и прегрупиране </w:t>
      </w:r>
      <w:r w:rsidR="000C79D8">
        <w:rPr>
          <w:rFonts w:ascii="Times New Roman" w:hAnsi="Times New Roman"/>
          <w:sz w:val="24"/>
          <w:szCs w:val="24"/>
          <w:lang w:val="bg-BG"/>
        </w:rPr>
        <w:t xml:space="preserve">с код D14 </w:t>
      </w:r>
      <w:r w:rsidR="007F79A6" w:rsidRPr="007E224A">
        <w:rPr>
          <w:rFonts w:ascii="Times New Roman" w:hAnsi="Times New Roman"/>
          <w:sz w:val="24"/>
          <w:szCs w:val="24"/>
          <w:lang w:val="bg-BG"/>
        </w:rPr>
        <w:t>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се из</w:t>
      </w:r>
      <w:r w:rsidR="007F79A6" w:rsidRPr="007E224A">
        <w:rPr>
          <w:rFonts w:ascii="Times New Roman" w:hAnsi="Times New Roman"/>
          <w:sz w:val="24"/>
          <w:szCs w:val="24"/>
          <w:lang w:val="bg-BG"/>
        </w:rPr>
        <w:t>вършват на закрито в съответния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склад за съхранение на залежали пестициди и агро-химични отпадъци;</w:t>
      </w:r>
    </w:p>
    <w:p w:rsidR="00ED17FF" w:rsidRPr="007E224A" w:rsidRDefault="007F79A6" w:rsidP="00ED17FF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дейностите да</w:t>
      </w:r>
      <w:r w:rsidR="00ED17FF" w:rsidRPr="007E224A">
        <w:rPr>
          <w:rFonts w:ascii="Times New Roman" w:hAnsi="Times New Roman"/>
          <w:sz w:val="24"/>
          <w:szCs w:val="24"/>
          <w:lang w:val="bg-BG"/>
        </w:rPr>
        <w:t xml:space="preserve"> се извършват от квалифициран персонал, оборудван подходящите за целта лични предпазни средства (дрехи, ръкавици, обувки, очила, маски и др.)</w:t>
      </w:r>
    </w:p>
    <w:p w:rsidR="00ED17FF" w:rsidRPr="007E224A" w:rsidRDefault="00ED17FF" w:rsidP="00ED17FF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Сам</w:t>
      </w:r>
      <w:r w:rsidR="007F79A6" w:rsidRPr="007E224A">
        <w:rPr>
          <w:rFonts w:ascii="Times New Roman" w:hAnsi="Times New Roman"/>
          <w:sz w:val="24"/>
          <w:szCs w:val="24"/>
          <w:lang w:val="bg-BG"/>
        </w:rPr>
        <w:t>ото съхраняване на отпадъците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се осъществява в затворени специализирани контейнери за варели/ бидони.</w:t>
      </w:r>
    </w:p>
    <w:p w:rsidR="00ED17FF" w:rsidRPr="007E224A" w:rsidRDefault="00ED17FF" w:rsidP="00ED17FF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Поддържане на актуална информация за метеорологичните условия в района на съответната площадка. При прогнози с риск от обилни валежи (код жъл</w:t>
      </w:r>
      <w:r w:rsidR="007F79A6" w:rsidRPr="007E224A">
        <w:rPr>
          <w:rFonts w:ascii="Times New Roman" w:hAnsi="Times New Roman"/>
          <w:sz w:val="24"/>
          <w:szCs w:val="24"/>
          <w:lang w:val="bg-BG"/>
        </w:rPr>
        <w:t>то или червено) на площадката да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се прилагат мерки съгласно изготвен Авариен план.</w:t>
      </w:r>
    </w:p>
    <w:p w:rsidR="00ED17FF" w:rsidRPr="007E224A" w:rsidRDefault="00ED17FF" w:rsidP="007F79A6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>Мониторинг на почвите и води</w:t>
      </w:r>
      <w:r w:rsidR="00C51B67">
        <w:rPr>
          <w:rFonts w:ascii="Times New Roman" w:hAnsi="Times New Roman"/>
          <w:sz w:val="24"/>
          <w:szCs w:val="24"/>
          <w:lang w:val="bg-BG"/>
        </w:rPr>
        <w:t>те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след настъпили наводнения</w:t>
      </w:r>
    </w:p>
    <w:p w:rsidR="00ED17FF" w:rsidRPr="007E224A" w:rsidRDefault="00ED17FF" w:rsidP="00B104AC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5C3DFC" w:rsidRDefault="005C3DFC" w:rsidP="00A52A17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E224A">
        <w:rPr>
          <w:rFonts w:ascii="Times New Roman" w:hAnsi="Times New Roman"/>
          <w:sz w:val="24"/>
          <w:szCs w:val="24"/>
          <w:lang w:val="bg-BG"/>
        </w:rPr>
        <w:t xml:space="preserve">Дейностите по третиране на отпадъци да отговарят </w:t>
      </w:r>
      <w:r w:rsidR="000A3199" w:rsidRPr="007E224A">
        <w:rPr>
          <w:rFonts w:ascii="Times New Roman" w:hAnsi="Times New Roman"/>
          <w:sz w:val="24"/>
          <w:szCs w:val="24"/>
          <w:lang w:val="bg-BG"/>
        </w:rPr>
        <w:t>напълно на</w:t>
      </w:r>
      <w:r w:rsidR="000A3199" w:rsidRPr="007E224A">
        <w:rPr>
          <w:rFonts w:ascii="Times New Roman" w:hAnsi="Times New Roman"/>
          <w:spacing w:val="5"/>
          <w:sz w:val="24"/>
          <w:szCs w:val="24"/>
          <w:lang w:val="bg-BG"/>
        </w:rPr>
        <w:t xml:space="preserve"> </w:t>
      </w:r>
      <w:r w:rsidR="000A3199" w:rsidRPr="007E224A">
        <w:rPr>
          <w:rFonts w:ascii="Times New Roman" w:hAnsi="Times New Roman"/>
          <w:sz w:val="24"/>
          <w:szCs w:val="24"/>
          <w:lang w:val="bg-BG"/>
        </w:rPr>
        <w:t>о</w:t>
      </w:r>
      <w:r w:rsidRPr="007E224A">
        <w:rPr>
          <w:rFonts w:ascii="Times New Roman" w:hAnsi="Times New Roman"/>
          <w:sz w:val="24"/>
          <w:szCs w:val="24"/>
          <w:lang w:val="bg-BG"/>
        </w:rPr>
        <w:t>писани</w:t>
      </w:r>
      <w:r w:rsidR="000A3199" w:rsidRPr="007E224A">
        <w:rPr>
          <w:rFonts w:ascii="Times New Roman" w:hAnsi="Times New Roman"/>
          <w:sz w:val="24"/>
          <w:szCs w:val="24"/>
          <w:lang w:val="bg-BG"/>
        </w:rPr>
        <w:t>те</w:t>
      </w:r>
      <w:r w:rsidRPr="007E224A">
        <w:rPr>
          <w:rFonts w:ascii="Times New Roman" w:hAnsi="Times New Roman"/>
          <w:sz w:val="24"/>
          <w:szCs w:val="24"/>
          <w:lang w:val="bg-BG"/>
        </w:rPr>
        <w:t xml:space="preserve"> в точка ІІ. Mетоди и технологии за третиране на отпадъците по видове дейности.</w:t>
      </w:r>
    </w:p>
    <w:p w:rsidR="00A52A17" w:rsidRPr="007E224A" w:rsidRDefault="00A52A17" w:rsidP="00A52A17">
      <w:pPr>
        <w:ind w:left="420"/>
        <w:jc w:val="both"/>
        <w:rPr>
          <w:rFonts w:ascii="Times New Roman" w:hAnsi="Times New Roman"/>
          <w:spacing w:val="5"/>
          <w:sz w:val="24"/>
          <w:szCs w:val="24"/>
          <w:lang w:val="bg-BG"/>
        </w:rPr>
      </w:pPr>
    </w:p>
    <w:p w:rsidR="005C3DFC" w:rsidRDefault="005C3DFC" w:rsidP="00A52A17">
      <w:pPr>
        <w:numPr>
          <w:ilvl w:val="0"/>
          <w:numId w:val="41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E224A">
        <w:rPr>
          <w:rFonts w:ascii="Times New Roman" w:hAnsi="Times New Roman"/>
          <w:bCs/>
          <w:sz w:val="24"/>
          <w:szCs w:val="24"/>
          <w:lang w:val="bg-BG"/>
        </w:rPr>
        <w:t>Да се в</w:t>
      </w:r>
      <w:r w:rsidR="00C51B67">
        <w:rPr>
          <w:rFonts w:ascii="Times New Roman" w:hAnsi="Times New Roman"/>
          <w:bCs/>
          <w:sz w:val="24"/>
          <w:szCs w:val="24"/>
          <w:lang w:val="bg-BG"/>
        </w:rPr>
        <w:t>оди отчетност и да се предостави</w:t>
      </w:r>
      <w:r w:rsidRPr="007E224A">
        <w:rPr>
          <w:rFonts w:ascii="Times New Roman" w:hAnsi="Times New Roman"/>
          <w:bCs/>
          <w:sz w:val="24"/>
          <w:szCs w:val="24"/>
          <w:lang w:val="bg-BG"/>
        </w:rPr>
        <w:t xml:space="preserve"> информация съгласно изискванията на наредбата по чл.48, ал.1 от ЗУО, Наредба №1 за реда и образците, по които се предоставя информация за дейностите по отпадъците, както и реда за водене на публични регистри (ДВ, бр.51/2014 г.)</w:t>
      </w:r>
    </w:p>
    <w:p w:rsidR="00A52A17" w:rsidRPr="007E224A" w:rsidRDefault="00A52A17" w:rsidP="00A52A17">
      <w:pPr>
        <w:ind w:left="4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3DFC" w:rsidRDefault="005C3DFC" w:rsidP="00A52A17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Измерването на количествата на </w:t>
      </w:r>
      <w:r w:rsidR="003D0434"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включените в настоящето решение </w:t>
      </w: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>отпадъци да се извършва поотделн</w:t>
      </w:r>
      <w:r w:rsidR="000A3199" w:rsidRPr="007E224A">
        <w:rPr>
          <w:rFonts w:ascii="Times New Roman" w:hAnsi="Times New Roman"/>
          <w:color w:val="000000"/>
          <w:sz w:val="24"/>
          <w:szCs w:val="24"/>
          <w:lang w:val="bg-BG"/>
        </w:rPr>
        <w:t>о за всеки вид отпадък по код</w:t>
      </w: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 и наименование</w:t>
      </w:r>
      <w:r w:rsidR="000A3199" w:rsidRPr="007E224A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 съгласн</w:t>
      </w:r>
      <w:r w:rsidR="000A3199"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о </w:t>
      </w: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Наредба №</w:t>
      </w:r>
      <w:r w:rsidR="000A3199" w:rsidRPr="007E224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>2 за класификация на отпадъците (ДВ, бр.66/2014 г.</w:t>
      </w:r>
      <w:r w:rsidR="000A3199" w:rsidRPr="007E224A">
        <w:rPr>
          <w:rFonts w:ascii="Times New Roman" w:hAnsi="Times New Roman"/>
          <w:color w:val="000000"/>
          <w:sz w:val="24"/>
          <w:szCs w:val="24"/>
          <w:lang w:val="bg-BG"/>
        </w:rPr>
        <w:t>, посл. изм. и доп. бр.32/2017г.</w:t>
      </w: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A52A17" w:rsidRPr="007E224A" w:rsidRDefault="00A52A17" w:rsidP="00A52A17">
      <w:pPr>
        <w:ind w:left="4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C3DFC" w:rsidRDefault="005C3DFC" w:rsidP="00A52A17">
      <w:pPr>
        <w:numPr>
          <w:ilvl w:val="0"/>
          <w:numId w:val="41"/>
        </w:num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>Да се предприемат мерки, осигуряващи ограничаване на количеството и опасните свойства на остатъците, получени при препакетирането/</w:t>
      </w:r>
      <w:r w:rsidR="005751E4" w:rsidRPr="007E2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24A">
        <w:rPr>
          <w:rFonts w:ascii="Times New Roman" w:hAnsi="Times New Roman"/>
          <w:color w:val="000000"/>
          <w:sz w:val="24"/>
          <w:szCs w:val="24"/>
          <w:lang w:val="bg-BG"/>
        </w:rPr>
        <w:t>преопаковането, в съответствие с най-добрите налични техники.</w:t>
      </w:r>
    </w:p>
    <w:p w:rsidR="00A52A17" w:rsidRPr="007E224A" w:rsidRDefault="00A52A17" w:rsidP="00A52A17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C3DFC" w:rsidRDefault="005C3DFC" w:rsidP="00A52A17">
      <w:pPr>
        <w:numPr>
          <w:ilvl w:val="0"/>
          <w:numId w:val="41"/>
        </w:num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E224A">
        <w:rPr>
          <w:rFonts w:ascii="Times New Roman" w:hAnsi="Times New Roman"/>
          <w:bCs/>
          <w:sz w:val="24"/>
          <w:szCs w:val="24"/>
          <w:lang w:val="bg-BG"/>
        </w:rPr>
        <w:t xml:space="preserve">Да се уведоми </w:t>
      </w: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>писмено</w:t>
      </w:r>
      <w:r w:rsidRPr="007E224A">
        <w:rPr>
          <w:rFonts w:ascii="Times New Roman" w:hAnsi="Times New Roman"/>
          <w:bCs/>
          <w:sz w:val="24"/>
          <w:szCs w:val="24"/>
          <w:lang w:val="bg-BG"/>
        </w:rPr>
        <w:t xml:space="preserve"> РИОСВ-Пловдив за местоположението на работната площадка, на която ще се извършва препакетирането/</w:t>
      </w:r>
      <w:r w:rsidR="005751E4" w:rsidRPr="007E224A">
        <w:rPr>
          <w:rFonts w:ascii="Times New Roman" w:hAnsi="Times New Roman"/>
          <w:bCs/>
          <w:sz w:val="24"/>
          <w:szCs w:val="24"/>
        </w:rPr>
        <w:t xml:space="preserve"> </w:t>
      </w:r>
      <w:r w:rsidRPr="007E224A">
        <w:rPr>
          <w:rFonts w:ascii="Times New Roman" w:hAnsi="Times New Roman"/>
          <w:bCs/>
          <w:sz w:val="24"/>
          <w:szCs w:val="24"/>
          <w:lang w:val="bg-BG"/>
        </w:rPr>
        <w:t xml:space="preserve">преопаковането и времето на започване на извършване на дейността в </w:t>
      </w: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>двуседмичен срок</w:t>
      </w:r>
      <w:r w:rsidRPr="007E224A">
        <w:rPr>
          <w:rFonts w:ascii="Times New Roman" w:hAnsi="Times New Roman"/>
          <w:bCs/>
          <w:sz w:val="24"/>
          <w:szCs w:val="24"/>
          <w:lang w:val="bg-BG"/>
        </w:rPr>
        <w:t xml:space="preserve"> преди започване на дейностите.</w:t>
      </w:r>
    </w:p>
    <w:p w:rsidR="000E10F7" w:rsidRDefault="000E10F7" w:rsidP="000E10F7">
      <w:pPr>
        <w:pStyle w:val="ae"/>
        <w:rPr>
          <w:rFonts w:ascii="Times New Roman" w:hAnsi="Times New Roman"/>
          <w:bCs/>
          <w:sz w:val="24"/>
          <w:szCs w:val="24"/>
          <w:lang w:val="bg-BG"/>
        </w:rPr>
      </w:pPr>
    </w:p>
    <w:p w:rsidR="005C3DFC" w:rsidRPr="000E10F7" w:rsidRDefault="005C3DFC" w:rsidP="000E10F7">
      <w:pPr>
        <w:numPr>
          <w:ilvl w:val="0"/>
          <w:numId w:val="41"/>
        </w:num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E10F7">
        <w:rPr>
          <w:rFonts w:ascii="Times New Roman" w:hAnsi="Times New Roman"/>
          <w:bCs/>
          <w:sz w:val="24"/>
          <w:szCs w:val="24"/>
          <w:lang w:val="bg-BG"/>
        </w:rPr>
        <w:t xml:space="preserve">Договорите, сключвани с лицата, на чиито площадки ще бъдат извършвани дейностите, да съдържат клауза кое е отговорното лице за окончателното предаване за оползотворяване/обезвреждане на отпадъците, които ще се образуват от дейността, както и в какъв срок това трябва да бъде извършено. Договорът да съдържа клауза, че предаването и приемането на образуваните отпадъци ще се извършва само въз основа на сключен писмен договор с лица, притежаващи документ по чл.35 от ЗУО за отпадъци със съответния код съгласно наредбата по чл.3 от ЗУО. Копия и от двата вида договори </w:t>
      </w:r>
      <w:r w:rsidRPr="000E10F7">
        <w:rPr>
          <w:rFonts w:ascii="Times New Roman" w:hAnsi="Times New Roman"/>
          <w:b/>
          <w:bCs/>
          <w:sz w:val="24"/>
          <w:szCs w:val="24"/>
          <w:lang w:val="bg-BG"/>
        </w:rPr>
        <w:t>да се представят в РИОСВ-Пловдив в двуседмичен срок преди започване на дейностите.</w:t>
      </w:r>
    </w:p>
    <w:p w:rsidR="00A52A17" w:rsidRPr="00C51B67" w:rsidRDefault="00A52A17" w:rsidP="00A52A17">
      <w:pPr>
        <w:ind w:left="420" w:right="2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52A17" w:rsidRDefault="000B40E4" w:rsidP="00A52A17">
      <w:pPr>
        <w:numPr>
          <w:ilvl w:val="0"/>
          <w:numId w:val="41"/>
        </w:num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E224A">
        <w:rPr>
          <w:rFonts w:ascii="Times New Roman" w:hAnsi="Times New Roman"/>
          <w:bCs/>
          <w:sz w:val="24"/>
          <w:szCs w:val="24"/>
          <w:lang w:val="bg-BG"/>
        </w:rPr>
        <w:t>Дейностите, които се извършват</w:t>
      </w:r>
      <w:r w:rsidR="00A52A17">
        <w:rPr>
          <w:rFonts w:ascii="Times New Roman" w:hAnsi="Times New Roman"/>
          <w:bCs/>
          <w:sz w:val="24"/>
          <w:szCs w:val="24"/>
          <w:lang w:val="bg-BG"/>
        </w:rPr>
        <w:t xml:space="preserve"> от „ПЕТРОЛ СЪРВИС</w:t>
      </w:r>
      <w:r w:rsidRPr="007E224A">
        <w:rPr>
          <w:rFonts w:ascii="Times New Roman" w:hAnsi="Times New Roman"/>
          <w:bCs/>
          <w:sz w:val="24"/>
          <w:szCs w:val="24"/>
          <w:lang w:val="bg-BG"/>
        </w:rPr>
        <w:t>“ ЕООД с отпадъците</w:t>
      </w:r>
      <w:r w:rsidR="000A3199" w:rsidRPr="007E224A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7E224A">
        <w:rPr>
          <w:rFonts w:ascii="Times New Roman" w:hAnsi="Times New Roman"/>
          <w:bCs/>
          <w:sz w:val="24"/>
          <w:szCs w:val="24"/>
          <w:lang w:val="bg-BG"/>
        </w:rPr>
        <w:t xml:space="preserve"> описани в настоящето решение да се организират и експлоатират по начин , по който </w:t>
      </w:r>
      <w:r w:rsidR="000A3199" w:rsidRPr="007E224A">
        <w:rPr>
          <w:rFonts w:ascii="Times New Roman" w:hAnsi="Times New Roman"/>
          <w:bCs/>
          <w:sz w:val="24"/>
          <w:szCs w:val="24"/>
          <w:lang w:val="bg-BG"/>
        </w:rPr>
        <w:t xml:space="preserve">се </w:t>
      </w:r>
      <w:r w:rsidRPr="007E224A">
        <w:rPr>
          <w:rFonts w:ascii="Times New Roman" w:hAnsi="Times New Roman"/>
          <w:bCs/>
          <w:sz w:val="24"/>
          <w:szCs w:val="24"/>
          <w:lang w:val="bg-BG"/>
        </w:rPr>
        <w:t>изключва замърсяване на почвата и др</w:t>
      </w:r>
      <w:r w:rsidR="000A3199" w:rsidRPr="007E224A">
        <w:rPr>
          <w:rFonts w:ascii="Times New Roman" w:hAnsi="Times New Roman"/>
          <w:bCs/>
          <w:sz w:val="24"/>
          <w:szCs w:val="24"/>
          <w:lang w:val="bg-BG"/>
        </w:rPr>
        <w:t>уги компоненти на околната сред</w:t>
      </w:r>
      <w:r w:rsidRPr="007E224A">
        <w:rPr>
          <w:rFonts w:ascii="Times New Roman" w:hAnsi="Times New Roman"/>
          <w:bCs/>
          <w:sz w:val="24"/>
          <w:szCs w:val="24"/>
          <w:lang w:val="bg-BG"/>
        </w:rPr>
        <w:t>а , както и по начин, който</w:t>
      </w:r>
      <w:r w:rsidR="000E10F7">
        <w:rPr>
          <w:rFonts w:ascii="Times New Roman" w:hAnsi="Times New Roman"/>
          <w:bCs/>
          <w:sz w:val="24"/>
          <w:szCs w:val="24"/>
          <w:lang w:val="bg-BG"/>
        </w:rPr>
        <w:t xml:space="preserve"> не застрашава човешкото здраве.</w:t>
      </w:r>
    </w:p>
    <w:p w:rsidR="000E10F7" w:rsidRDefault="000E10F7" w:rsidP="000E10F7">
      <w:pPr>
        <w:pStyle w:val="ae"/>
        <w:rPr>
          <w:rFonts w:ascii="Times New Roman" w:hAnsi="Times New Roman"/>
          <w:bCs/>
          <w:sz w:val="24"/>
          <w:szCs w:val="24"/>
          <w:lang w:val="bg-BG"/>
        </w:rPr>
      </w:pPr>
    </w:p>
    <w:p w:rsidR="005C3DFC" w:rsidRPr="000E10F7" w:rsidRDefault="000A3199" w:rsidP="000A3199">
      <w:pPr>
        <w:numPr>
          <w:ilvl w:val="0"/>
          <w:numId w:val="41"/>
        </w:num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E10F7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 xml:space="preserve">  </w:t>
      </w:r>
      <w:r w:rsidR="00EF757F" w:rsidRPr="000E10F7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посочени в настоящето решение да се извършва посредством писмен договор с фирми притежаващи съответните документи по чл.35 от ЗУО (ДВ. Бр.5</w:t>
      </w:r>
      <w:r w:rsidR="00C51B67" w:rsidRPr="000E10F7">
        <w:rPr>
          <w:rFonts w:ascii="Times New Roman" w:hAnsi="Times New Roman"/>
          <w:bCs/>
          <w:sz w:val="24"/>
          <w:szCs w:val="24"/>
          <w:lang w:val="bg-BG"/>
        </w:rPr>
        <w:t>3/2012г, посл. изм. и доп. бр.88</w:t>
      </w:r>
      <w:r w:rsidR="00EF757F" w:rsidRPr="000E10F7">
        <w:rPr>
          <w:rFonts w:ascii="Times New Roman" w:hAnsi="Times New Roman"/>
          <w:bCs/>
          <w:sz w:val="24"/>
          <w:szCs w:val="24"/>
          <w:lang w:val="bg-BG"/>
        </w:rPr>
        <w:t xml:space="preserve"> от 2017г.) със специализирани и технически изправни средства </w:t>
      </w:r>
      <w:r w:rsidR="00EF757F" w:rsidRPr="000E10F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6E7491" w:rsidRPr="007E224A" w:rsidRDefault="006E7491" w:rsidP="00B104AC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2131C4" w:rsidRPr="007E224A" w:rsidRDefault="002131C4" w:rsidP="00B104AC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Решението може да се обжалва чрез директора на РИОСВ пред министъра на околната среда и водите или пред </w:t>
      </w:r>
      <w:r w:rsidR="004A06DA" w:rsidRPr="007E224A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>дминистративен съд</w:t>
      </w:r>
      <w:r w:rsidR="004A06DA" w:rsidRPr="007E224A">
        <w:rPr>
          <w:rFonts w:ascii="Times New Roman" w:hAnsi="Times New Roman"/>
          <w:b/>
          <w:bCs/>
          <w:sz w:val="24"/>
          <w:szCs w:val="24"/>
          <w:lang w:val="bg-BG"/>
        </w:rPr>
        <w:t>, гр.</w:t>
      </w:r>
      <w:r w:rsidR="00CC26D0" w:rsidRPr="007E224A">
        <w:rPr>
          <w:rFonts w:ascii="Times New Roman" w:hAnsi="Times New Roman"/>
          <w:b/>
          <w:bCs/>
          <w:sz w:val="24"/>
          <w:szCs w:val="24"/>
          <w:lang w:val="bg-BG"/>
        </w:rPr>
        <w:t>Пловдив</w:t>
      </w:r>
      <w:r w:rsidRPr="007E224A">
        <w:rPr>
          <w:rFonts w:ascii="Times New Roman" w:hAnsi="Times New Roman"/>
          <w:b/>
          <w:bCs/>
          <w:sz w:val="24"/>
          <w:szCs w:val="24"/>
          <w:lang w:val="bg-BG"/>
        </w:rPr>
        <w:t xml:space="preserve"> по реда на Административнопроцесуалния кодекс в 14-дневен срок от неговото съобщаване.   </w:t>
      </w:r>
    </w:p>
    <w:p w:rsidR="00B57400" w:rsidRDefault="00B57400" w:rsidP="002131C4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52A17" w:rsidRPr="007E224A" w:rsidRDefault="00A52A17" w:rsidP="002131C4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E6A3C" w:rsidRPr="005E6A3C" w:rsidRDefault="005E6A3C" w:rsidP="005E6A3C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E224A" w:rsidRPr="002627D3" w:rsidRDefault="007E224A" w:rsidP="005E6A3C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2627D3">
        <w:rPr>
          <w:rFonts w:ascii="Times New Roman" w:hAnsi="Times New Roman"/>
          <w:b/>
          <w:sz w:val="28"/>
          <w:szCs w:val="28"/>
          <w:lang w:val="bg-BG"/>
        </w:rPr>
        <w:t>ДОЦ. СТЕФАН ШИЛЕВ</w:t>
      </w:r>
    </w:p>
    <w:p w:rsidR="005E6A3C" w:rsidRPr="002627D3" w:rsidRDefault="005E6A3C" w:rsidP="005E6A3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6A3C">
        <w:rPr>
          <w:rFonts w:ascii="Verdana" w:hAnsi="Verdana"/>
          <w:i/>
          <w:sz w:val="22"/>
          <w:szCs w:val="22"/>
          <w:lang w:val="ru-RU"/>
        </w:rPr>
        <w:t xml:space="preserve"> </w:t>
      </w:r>
      <w:r w:rsidRPr="002627D3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- Пловдив </w:t>
      </w:r>
    </w:p>
    <w:p w:rsidR="00851224" w:rsidRDefault="00851224" w:rsidP="00851224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A52A17" w:rsidRDefault="00A52A17" w:rsidP="00851224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sectPr w:rsidR="00A52A17" w:rsidSect="00E369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FD" w:rsidRDefault="00444DFD">
      <w:r>
        <w:separator/>
      </w:r>
    </w:p>
  </w:endnote>
  <w:endnote w:type="continuationSeparator" w:id="0">
    <w:p w:rsidR="00444DFD" w:rsidRDefault="0044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F" w:rsidRDefault="00ED17FF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17FF" w:rsidRDefault="00ED17FF" w:rsidP="00801E5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F" w:rsidRPr="000E6442" w:rsidRDefault="00ED17FF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805BE2">
      <w:rPr>
        <w:rStyle w:val="a9"/>
        <w:rFonts w:ascii="Times New Roman" w:hAnsi="Times New Roman"/>
        <w:noProof/>
        <w:sz w:val="22"/>
        <w:szCs w:val="22"/>
      </w:rPr>
      <w:t>1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ED17FF" w:rsidRDefault="00ED17FF" w:rsidP="00801E5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F" w:rsidRDefault="00ED17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FD" w:rsidRDefault="00444DFD">
      <w:r>
        <w:separator/>
      </w:r>
    </w:p>
  </w:footnote>
  <w:footnote w:type="continuationSeparator" w:id="0">
    <w:p w:rsidR="00444DFD" w:rsidRDefault="0044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F" w:rsidRDefault="00ED17F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F" w:rsidRDefault="00ED17F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FF" w:rsidRDefault="00ED17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16"/>
    <w:multiLevelType w:val="hybridMultilevel"/>
    <w:tmpl w:val="0414D4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7723"/>
    <w:multiLevelType w:val="hybridMultilevel"/>
    <w:tmpl w:val="CC9609F8"/>
    <w:lvl w:ilvl="0" w:tplc="95FC6846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D1503"/>
    <w:multiLevelType w:val="hybridMultilevel"/>
    <w:tmpl w:val="E7D6BFE4"/>
    <w:lvl w:ilvl="0" w:tplc="1F8CC8CC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9CE1CF1"/>
    <w:multiLevelType w:val="hybridMultilevel"/>
    <w:tmpl w:val="7BC01466"/>
    <w:lvl w:ilvl="0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B401540"/>
    <w:multiLevelType w:val="hybridMultilevel"/>
    <w:tmpl w:val="D96E115C"/>
    <w:lvl w:ilvl="0" w:tplc="628E60DC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24563E09"/>
    <w:multiLevelType w:val="hybridMultilevel"/>
    <w:tmpl w:val="2DDA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7B24"/>
    <w:multiLevelType w:val="hybridMultilevel"/>
    <w:tmpl w:val="683094EE"/>
    <w:lvl w:ilvl="0" w:tplc="A2A04BA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A7731"/>
    <w:multiLevelType w:val="hybridMultilevel"/>
    <w:tmpl w:val="A7308C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354547A"/>
    <w:multiLevelType w:val="hybridMultilevel"/>
    <w:tmpl w:val="118EEFE6"/>
    <w:lvl w:ilvl="0" w:tplc="61DCB554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102C2F"/>
    <w:multiLevelType w:val="hybridMultilevel"/>
    <w:tmpl w:val="694E55A2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48148EE4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23498E"/>
    <w:multiLevelType w:val="hybridMultilevel"/>
    <w:tmpl w:val="E8AA5A7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58C4297"/>
    <w:multiLevelType w:val="hybridMultilevel"/>
    <w:tmpl w:val="DFFC6D8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D6936"/>
    <w:multiLevelType w:val="hybridMultilevel"/>
    <w:tmpl w:val="34727792"/>
    <w:lvl w:ilvl="0" w:tplc="0402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18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C6625F"/>
    <w:multiLevelType w:val="hybridMultilevel"/>
    <w:tmpl w:val="55E6AA5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9B4325"/>
    <w:multiLevelType w:val="hybridMultilevel"/>
    <w:tmpl w:val="55A28B7C"/>
    <w:lvl w:ilvl="0" w:tplc="04020003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6CA5786"/>
    <w:multiLevelType w:val="hybridMultilevel"/>
    <w:tmpl w:val="16483B20"/>
    <w:lvl w:ilvl="0" w:tplc="0402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58F03F9C"/>
    <w:multiLevelType w:val="hybridMultilevel"/>
    <w:tmpl w:val="43BA954E"/>
    <w:lvl w:ilvl="0" w:tplc="0402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1216AF1"/>
    <w:multiLevelType w:val="hybridMultilevel"/>
    <w:tmpl w:val="31C25B7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4DEA4">
      <w:numFmt w:val="bullet"/>
      <w:lvlText w:val="-"/>
      <w:lvlJc w:val="left"/>
      <w:pPr>
        <w:tabs>
          <w:tab w:val="num" w:pos="2265"/>
        </w:tabs>
        <w:ind w:left="2265" w:hanging="465"/>
      </w:pPr>
      <w:rPr>
        <w:rFonts w:ascii="Courier New" w:eastAsia="Times New Roman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26909"/>
    <w:multiLevelType w:val="hybridMultilevel"/>
    <w:tmpl w:val="FD3C96D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C06D5E"/>
    <w:multiLevelType w:val="hybridMultilevel"/>
    <w:tmpl w:val="BA56FB5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D1590"/>
    <w:multiLevelType w:val="hybridMultilevel"/>
    <w:tmpl w:val="F5E4DF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074E21"/>
    <w:multiLevelType w:val="multilevel"/>
    <w:tmpl w:val="35EC16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D007853"/>
    <w:multiLevelType w:val="hybridMultilevel"/>
    <w:tmpl w:val="B0D8E8CA"/>
    <w:lvl w:ilvl="0" w:tplc="EA706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E7848FF"/>
    <w:multiLevelType w:val="hybridMultilevel"/>
    <w:tmpl w:val="5AB8DD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D0F25"/>
    <w:multiLevelType w:val="hybridMultilevel"/>
    <w:tmpl w:val="DA6E2CD4"/>
    <w:lvl w:ilvl="0" w:tplc="15B4E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4265F"/>
    <w:multiLevelType w:val="hybridMultilevel"/>
    <w:tmpl w:val="AB7E78A8"/>
    <w:lvl w:ilvl="0" w:tplc="15B4E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23B25"/>
    <w:multiLevelType w:val="hybridMultilevel"/>
    <w:tmpl w:val="E2BCDBF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A11EED"/>
    <w:multiLevelType w:val="hybridMultilevel"/>
    <w:tmpl w:val="11EA9C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86878"/>
    <w:multiLevelType w:val="hybridMultilevel"/>
    <w:tmpl w:val="01A8E3F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36E4E"/>
    <w:multiLevelType w:val="hybridMultilevel"/>
    <w:tmpl w:val="CDC46F22"/>
    <w:lvl w:ilvl="0" w:tplc="0402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E4514C"/>
    <w:multiLevelType w:val="hybridMultilevel"/>
    <w:tmpl w:val="72CEA29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13"/>
  </w:num>
  <w:num w:numId="5">
    <w:abstractNumId w:val="7"/>
  </w:num>
  <w:num w:numId="6">
    <w:abstractNumId w:val="18"/>
  </w:num>
  <w:num w:numId="7">
    <w:abstractNumId w:val="5"/>
  </w:num>
  <w:num w:numId="8">
    <w:abstractNumId w:val="39"/>
  </w:num>
  <w:num w:numId="9">
    <w:abstractNumId w:val="14"/>
  </w:num>
  <w:num w:numId="10">
    <w:abstractNumId w:val="24"/>
  </w:num>
  <w:num w:numId="11">
    <w:abstractNumId w:val="8"/>
  </w:num>
  <w:num w:numId="12">
    <w:abstractNumId w:val="11"/>
  </w:num>
  <w:num w:numId="13">
    <w:abstractNumId w:val="3"/>
  </w:num>
  <w:num w:numId="14">
    <w:abstractNumId w:val="16"/>
  </w:num>
  <w:num w:numId="15">
    <w:abstractNumId w:val="35"/>
  </w:num>
  <w:num w:numId="16">
    <w:abstractNumId w:val="33"/>
  </w:num>
  <w:num w:numId="17">
    <w:abstractNumId w:val="21"/>
  </w:num>
  <w:num w:numId="18">
    <w:abstractNumId w:val="17"/>
  </w:num>
  <w:num w:numId="19">
    <w:abstractNumId w:val="27"/>
  </w:num>
  <w:num w:numId="20">
    <w:abstractNumId w:val="19"/>
  </w:num>
  <w:num w:numId="21">
    <w:abstractNumId w:val="2"/>
  </w:num>
  <w:num w:numId="22">
    <w:abstractNumId w:val="28"/>
  </w:num>
  <w:num w:numId="23">
    <w:abstractNumId w:val="36"/>
  </w:num>
  <w:num w:numId="24">
    <w:abstractNumId w:val="9"/>
  </w:num>
  <w:num w:numId="25">
    <w:abstractNumId w:val="31"/>
  </w:num>
  <w:num w:numId="26">
    <w:abstractNumId w:val="34"/>
  </w:num>
  <w:num w:numId="27">
    <w:abstractNumId w:val="32"/>
  </w:num>
  <w:num w:numId="28">
    <w:abstractNumId w:val="38"/>
  </w:num>
  <w:num w:numId="29">
    <w:abstractNumId w:val="2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2"/>
  </w:num>
  <w:num w:numId="33">
    <w:abstractNumId w:val="37"/>
  </w:num>
  <w:num w:numId="34">
    <w:abstractNumId w:val="1"/>
  </w:num>
  <w:num w:numId="35">
    <w:abstractNumId w:val="30"/>
  </w:num>
  <w:num w:numId="36">
    <w:abstractNumId w:val="20"/>
  </w:num>
  <w:num w:numId="37">
    <w:abstractNumId w:val="25"/>
  </w:num>
  <w:num w:numId="38">
    <w:abstractNumId w:val="6"/>
  </w:num>
  <w:num w:numId="39">
    <w:abstractNumId w:val="10"/>
  </w:num>
  <w:num w:numId="40">
    <w:abstractNumId w:val="0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0D"/>
    <w:rsid w:val="000006D0"/>
    <w:rsid w:val="00003158"/>
    <w:rsid w:val="00005370"/>
    <w:rsid w:val="00015FBC"/>
    <w:rsid w:val="00030FCD"/>
    <w:rsid w:val="000355E9"/>
    <w:rsid w:val="00040604"/>
    <w:rsid w:val="00045354"/>
    <w:rsid w:val="000501AF"/>
    <w:rsid w:val="000531A8"/>
    <w:rsid w:val="000903F8"/>
    <w:rsid w:val="000932B2"/>
    <w:rsid w:val="00094B00"/>
    <w:rsid w:val="00095662"/>
    <w:rsid w:val="000A3199"/>
    <w:rsid w:val="000A5B41"/>
    <w:rsid w:val="000B3504"/>
    <w:rsid w:val="000B40E4"/>
    <w:rsid w:val="000B7D5A"/>
    <w:rsid w:val="000B7E7D"/>
    <w:rsid w:val="000C16EE"/>
    <w:rsid w:val="000C380D"/>
    <w:rsid w:val="000C79D8"/>
    <w:rsid w:val="000D4810"/>
    <w:rsid w:val="000D60A4"/>
    <w:rsid w:val="000E10F7"/>
    <w:rsid w:val="000E6442"/>
    <w:rsid w:val="000F2F45"/>
    <w:rsid w:val="000F59D0"/>
    <w:rsid w:val="001201F6"/>
    <w:rsid w:val="00121E58"/>
    <w:rsid w:val="00122EBD"/>
    <w:rsid w:val="00131C74"/>
    <w:rsid w:val="00142F92"/>
    <w:rsid w:val="00144691"/>
    <w:rsid w:val="00157C97"/>
    <w:rsid w:val="00174A24"/>
    <w:rsid w:val="00177093"/>
    <w:rsid w:val="001865BD"/>
    <w:rsid w:val="00196509"/>
    <w:rsid w:val="00196AE7"/>
    <w:rsid w:val="00197580"/>
    <w:rsid w:val="001A2FBA"/>
    <w:rsid w:val="001B7E99"/>
    <w:rsid w:val="001C2D93"/>
    <w:rsid w:val="001D0FD5"/>
    <w:rsid w:val="001E1768"/>
    <w:rsid w:val="001E446C"/>
    <w:rsid w:val="001F280D"/>
    <w:rsid w:val="001F4208"/>
    <w:rsid w:val="001F518F"/>
    <w:rsid w:val="00207922"/>
    <w:rsid w:val="0021298C"/>
    <w:rsid w:val="002131C4"/>
    <w:rsid w:val="00216404"/>
    <w:rsid w:val="00220B1E"/>
    <w:rsid w:val="002364BD"/>
    <w:rsid w:val="002379E8"/>
    <w:rsid w:val="00241D40"/>
    <w:rsid w:val="00241EE0"/>
    <w:rsid w:val="002615F5"/>
    <w:rsid w:val="002627D3"/>
    <w:rsid w:val="00265965"/>
    <w:rsid w:val="00270716"/>
    <w:rsid w:val="002751F6"/>
    <w:rsid w:val="00276DA2"/>
    <w:rsid w:val="00277B1E"/>
    <w:rsid w:val="00282D16"/>
    <w:rsid w:val="00286FF1"/>
    <w:rsid w:val="002967E8"/>
    <w:rsid w:val="002A42D5"/>
    <w:rsid w:val="002B330B"/>
    <w:rsid w:val="002C52C8"/>
    <w:rsid w:val="002C7809"/>
    <w:rsid w:val="002D12FB"/>
    <w:rsid w:val="002F6F45"/>
    <w:rsid w:val="002F6F54"/>
    <w:rsid w:val="003115DE"/>
    <w:rsid w:val="00311BD6"/>
    <w:rsid w:val="00314B88"/>
    <w:rsid w:val="00324850"/>
    <w:rsid w:val="00326CBF"/>
    <w:rsid w:val="0034277B"/>
    <w:rsid w:val="003438F8"/>
    <w:rsid w:val="00345C3F"/>
    <w:rsid w:val="00354CAB"/>
    <w:rsid w:val="00367E62"/>
    <w:rsid w:val="00374111"/>
    <w:rsid w:val="00390B82"/>
    <w:rsid w:val="0039321A"/>
    <w:rsid w:val="003941F3"/>
    <w:rsid w:val="003A2BEA"/>
    <w:rsid w:val="003B2576"/>
    <w:rsid w:val="003B2D98"/>
    <w:rsid w:val="003D029C"/>
    <w:rsid w:val="003D0434"/>
    <w:rsid w:val="003D1FA4"/>
    <w:rsid w:val="003D2092"/>
    <w:rsid w:val="003E4327"/>
    <w:rsid w:val="003F0F5F"/>
    <w:rsid w:val="00403803"/>
    <w:rsid w:val="004141F5"/>
    <w:rsid w:val="00420577"/>
    <w:rsid w:val="00427D8D"/>
    <w:rsid w:val="00440E16"/>
    <w:rsid w:val="00444DFD"/>
    <w:rsid w:val="0044658A"/>
    <w:rsid w:val="004465B8"/>
    <w:rsid w:val="00450E6B"/>
    <w:rsid w:val="0045412F"/>
    <w:rsid w:val="00457C2F"/>
    <w:rsid w:val="00460C36"/>
    <w:rsid w:val="00470213"/>
    <w:rsid w:val="004754CF"/>
    <w:rsid w:val="0047772D"/>
    <w:rsid w:val="00481933"/>
    <w:rsid w:val="00482A17"/>
    <w:rsid w:val="00491535"/>
    <w:rsid w:val="00494245"/>
    <w:rsid w:val="004A06DA"/>
    <w:rsid w:val="004C0BD3"/>
    <w:rsid w:val="004C2539"/>
    <w:rsid w:val="004C52FB"/>
    <w:rsid w:val="004C5EB2"/>
    <w:rsid w:val="004C6E9F"/>
    <w:rsid w:val="004D1B5F"/>
    <w:rsid w:val="004E0B09"/>
    <w:rsid w:val="004E1F58"/>
    <w:rsid w:val="004E468C"/>
    <w:rsid w:val="004F4F46"/>
    <w:rsid w:val="005006A1"/>
    <w:rsid w:val="00506E17"/>
    <w:rsid w:val="005079C3"/>
    <w:rsid w:val="00534038"/>
    <w:rsid w:val="00537336"/>
    <w:rsid w:val="00541033"/>
    <w:rsid w:val="00546132"/>
    <w:rsid w:val="005536D3"/>
    <w:rsid w:val="005539C6"/>
    <w:rsid w:val="00560A7A"/>
    <w:rsid w:val="00562EEB"/>
    <w:rsid w:val="00567AA8"/>
    <w:rsid w:val="00570A69"/>
    <w:rsid w:val="00570DBE"/>
    <w:rsid w:val="00575113"/>
    <w:rsid w:val="005751E4"/>
    <w:rsid w:val="005819DA"/>
    <w:rsid w:val="00583E5F"/>
    <w:rsid w:val="00583EC5"/>
    <w:rsid w:val="00585669"/>
    <w:rsid w:val="00594C73"/>
    <w:rsid w:val="005969D3"/>
    <w:rsid w:val="005A139F"/>
    <w:rsid w:val="005A6430"/>
    <w:rsid w:val="005B0230"/>
    <w:rsid w:val="005C07D1"/>
    <w:rsid w:val="005C3DFC"/>
    <w:rsid w:val="005C6ED6"/>
    <w:rsid w:val="005D5392"/>
    <w:rsid w:val="005E11A3"/>
    <w:rsid w:val="005E5FF4"/>
    <w:rsid w:val="005E6A3C"/>
    <w:rsid w:val="006056F6"/>
    <w:rsid w:val="00606A4F"/>
    <w:rsid w:val="00611DEB"/>
    <w:rsid w:val="00615557"/>
    <w:rsid w:val="006175B6"/>
    <w:rsid w:val="006307B8"/>
    <w:rsid w:val="00635256"/>
    <w:rsid w:val="00637033"/>
    <w:rsid w:val="00665B4A"/>
    <w:rsid w:val="00667DBC"/>
    <w:rsid w:val="006737BF"/>
    <w:rsid w:val="00683C9B"/>
    <w:rsid w:val="00684F69"/>
    <w:rsid w:val="006856EB"/>
    <w:rsid w:val="00691B30"/>
    <w:rsid w:val="006B1B94"/>
    <w:rsid w:val="006B2665"/>
    <w:rsid w:val="006B3F22"/>
    <w:rsid w:val="006B4262"/>
    <w:rsid w:val="006C692B"/>
    <w:rsid w:val="006E0534"/>
    <w:rsid w:val="006E2508"/>
    <w:rsid w:val="006E7491"/>
    <w:rsid w:val="00704D6C"/>
    <w:rsid w:val="00705D53"/>
    <w:rsid w:val="00706EC1"/>
    <w:rsid w:val="00716359"/>
    <w:rsid w:val="007226E4"/>
    <w:rsid w:val="00723B1E"/>
    <w:rsid w:val="007277CF"/>
    <w:rsid w:val="0073020B"/>
    <w:rsid w:val="007358C1"/>
    <w:rsid w:val="00764E63"/>
    <w:rsid w:val="0077427D"/>
    <w:rsid w:val="007809D4"/>
    <w:rsid w:val="007836CA"/>
    <w:rsid w:val="007838CC"/>
    <w:rsid w:val="00783F11"/>
    <w:rsid w:val="0079293B"/>
    <w:rsid w:val="007A4579"/>
    <w:rsid w:val="007B3235"/>
    <w:rsid w:val="007B6275"/>
    <w:rsid w:val="007B7F12"/>
    <w:rsid w:val="007C29BF"/>
    <w:rsid w:val="007C2B6C"/>
    <w:rsid w:val="007D4957"/>
    <w:rsid w:val="007D4CCE"/>
    <w:rsid w:val="007E0266"/>
    <w:rsid w:val="007E224A"/>
    <w:rsid w:val="007E3190"/>
    <w:rsid w:val="007F065C"/>
    <w:rsid w:val="007F79A6"/>
    <w:rsid w:val="00801E5E"/>
    <w:rsid w:val="008024CF"/>
    <w:rsid w:val="008024FE"/>
    <w:rsid w:val="00804CD5"/>
    <w:rsid w:val="00805B84"/>
    <w:rsid w:val="00805BE2"/>
    <w:rsid w:val="0080795C"/>
    <w:rsid w:val="00814992"/>
    <w:rsid w:val="0081693C"/>
    <w:rsid w:val="008240F6"/>
    <w:rsid w:val="0082768F"/>
    <w:rsid w:val="008307BF"/>
    <w:rsid w:val="00831296"/>
    <w:rsid w:val="008410FD"/>
    <w:rsid w:val="00841F63"/>
    <w:rsid w:val="00841F79"/>
    <w:rsid w:val="00846583"/>
    <w:rsid w:val="00851224"/>
    <w:rsid w:val="00852511"/>
    <w:rsid w:val="00853055"/>
    <w:rsid w:val="00855E00"/>
    <w:rsid w:val="008642DE"/>
    <w:rsid w:val="00864D59"/>
    <w:rsid w:val="008733D9"/>
    <w:rsid w:val="00875B1E"/>
    <w:rsid w:val="00891532"/>
    <w:rsid w:val="0089557E"/>
    <w:rsid w:val="008A58F9"/>
    <w:rsid w:val="008A6843"/>
    <w:rsid w:val="008B0887"/>
    <w:rsid w:val="008B1EF6"/>
    <w:rsid w:val="008C17F0"/>
    <w:rsid w:val="008C3D94"/>
    <w:rsid w:val="008C74D9"/>
    <w:rsid w:val="008C7FD7"/>
    <w:rsid w:val="008E2253"/>
    <w:rsid w:val="008F02E8"/>
    <w:rsid w:val="008F725E"/>
    <w:rsid w:val="009155F5"/>
    <w:rsid w:val="00922C2F"/>
    <w:rsid w:val="00930F70"/>
    <w:rsid w:val="00934C5D"/>
    <w:rsid w:val="00945488"/>
    <w:rsid w:val="00955ECB"/>
    <w:rsid w:val="009647B5"/>
    <w:rsid w:val="0096538F"/>
    <w:rsid w:val="00985FE9"/>
    <w:rsid w:val="00987EBC"/>
    <w:rsid w:val="00995587"/>
    <w:rsid w:val="009A4994"/>
    <w:rsid w:val="009B2279"/>
    <w:rsid w:val="009C6B7D"/>
    <w:rsid w:val="009D3215"/>
    <w:rsid w:val="009E08A5"/>
    <w:rsid w:val="009E6BC2"/>
    <w:rsid w:val="00A124A7"/>
    <w:rsid w:val="00A16E63"/>
    <w:rsid w:val="00A21370"/>
    <w:rsid w:val="00A23BFF"/>
    <w:rsid w:val="00A259D8"/>
    <w:rsid w:val="00A330B5"/>
    <w:rsid w:val="00A34595"/>
    <w:rsid w:val="00A43A81"/>
    <w:rsid w:val="00A52A17"/>
    <w:rsid w:val="00A5456F"/>
    <w:rsid w:val="00A75EDC"/>
    <w:rsid w:val="00A77439"/>
    <w:rsid w:val="00A87580"/>
    <w:rsid w:val="00AA0427"/>
    <w:rsid w:val="00AA4090"/>
    <w:rsid w:val="00AA73CB"/>
    <w:rsid w:val="00AB0D5B"/>
    <w:rsid w:val="00AC79B8"/>
    <w:rsid w:val="00AD472D"/>
    <w:rsid w:val="00AE4660"/>
    <w:rsid w:val="00AE6912"/>
    <w:rsid w:val="00AF142F"/>
    <w:rsid w:val="00AF1D92"/>
    <w:rsid w:val="00B01713"/>
    <w:rsid w:val="00B02FBD"/>
    <w:rsid w:val="00B104AC"/>
    <w:rsid w:val="00B142E9"/>
    <w:rsid w:val="00B161EE"/>
    <w:rsid w:val="00B1756C"/>
    <w:rsid w:val="00B4466A"/>
    <w:rsid w:val="00B57400"/>
    <w:rsid w:val="00B6239E"/>
    <w:rsid w:val="00B634D7"/>
    <w:rsid w:val="00B765FF"/>
    <w:rsid w:val="00B8551E"/>
    <w:rsid w:val="00B876D9"/>
    <w:rsid w:val="00B937A1"/>
    <w:rsid w:val="00BB0E27"/>
    <w:rsid w:val="00BB6FC4"/>
    <w:rsid w:val="00BC5736"/>
    <w:rsid w:val="00BC7CD1"/>
    <w:rsid w:val="00BD3A4E"/>
    <w:rsid w:val="00BD445E"/>
    <w:rsid w:val="00BE255C"/>
    <w:rsid w:val="00C050CE"/>
    <w:rsid w:val="00C10BFD"/>
    <w:rsid w:val="00C46152"/>
    <w:rsid w:val="00C46C5B"/>
    <w:rsid w:val="00C51B67"/>
    <w:rsid w:val="00C54980"/>
    <w:rsid w:val="00C60D59"/>
    <w:rsid w:val="00C70833"/>
    <w:rsid w:val="00C7223B"/>
    <w:rsid w:val="00C75E90"/>
    <w:rsid w:val="00C80E33"/>
    <w:rsid w:val="00C91738"/>
    <w:rsid w:val="00C91DA0"/>
    <w:rsid w:val="00CA170C"/>
    <w:rsid w:val="00CA19F0"/>
    <w:rsid w:val="00CA2378"/>
    <w:rsid w:val="00CA2E53"/>
    <w:rsid w:val="00CA3F03"/>
    <w:rsid w:val="00CC26D0"/>
    <w:rsid w:val="00CC3487"/>
    <w:rsid w:val="00CC5862"/>
    <w:rsid w:val="00CC58CE"/>
    <w:rsid w:val="00CD318B"/>
    <w:rsid w:val="00CE2E9B"/>
    <w:rsid w:val="00CE5543"/>
    <w:rsid w:val="00CF153F"/>
    <w:rsid w:val="00CF4AF7"/>
    <w:rsid w:val="00D03A4A"/>
    <w:rsid w:val="00D049F0"/>
    <w:rsid w:val="00D11423"/>
    <w:rsid w:val="00D11C27"/>
    <w:rsid w:val="00D13291"/>
    <w:rsid w:val="00D24664"/>
    <w:rsid w:val="00D24A9E"/>
    <w:rsid w:val="00D40D2C"/>
    <w:rsid w:val="00D43E52"/>
    <w:rsid w:val="00D478C7"/>
    <w:rsid w:val="00D54963"/>
    <w:rsid w:val="00D556C6"/>
    <w:rsid w:val="00D64136"/>
    <w:rsid w:val="00D73FA1"/>
    <w:rsid w:val="00D764F0"/>
    <w:rsid w:val="00D80891"/>
    <w:rsid w:val="00D82953"/>
    <w:rsid w:val="00D8670D"/>
    <w:rsid w:val="00D91AB0"/>
    <w:rsid w:val="00DA2E5B"/>
    <w:rsid w:val="00DA4800"/>
    <w:rsid w:val="00DB5202"/>
    <w:rsid w:val="00DB5F12"/>
    <w:rsid w:val="00DE657C"/>
    <w:rsid w:val="00DE6C35"/>
    <w:rsid w:val="00DF1746"/>
    <w:rsid w:val="00DF2091"/>
    <w:rsid w:val="00DF378D"/>
    <w:rsid w:val="00E022B9"/>
    <w:rsid w:val="00E02FB8"/>
    <w:rsid w:val="00E0706A"/>
    <w:rsid w:val="00E102D3"/>
    <w:rsid w:val="00E113B8"/>
    <w:rsid w:val="00E1201F"/>
    <w:rsid w:val="00E21ECC"/>
    <w:rsid w:val="00E23B1C"/>
    <w:rsid w:val="00E369B9"/>
    <w:rsid w:val="00E447C8"/>
    <w:rsid w:val="00E47833"/>
    <w:rsid w:val="00E51444"/>
    <w:rsid w:val="00E52553"/>
    <w:rsid w:val="00E57291"/>
    <w:rsid w:val="00E63CB1"/>
    <w:rsid w:val="00E7392E"/>
    <w:rsid w:val="00E749E8"/>
    <w:rsid w:val="00E846CA"/>
    <w:rsid w:val="00E862E8"/>
    <w:rsid w:val="00E87A7F"/>
    <w:rsid w:val="00E909B0"/>
    <w:rsid w:val="00E912EA"/>
    <w:rsid w:val="00E9312C"/>
    <w:rsid w:val="00EB1E09"/>
    <w:rsid w:val="00EB6E96"/>
    <w:rsid w:val="00EC11BC"/>
    <w:rsid w:val="00ED17FF"/>
    <w:rsid w:val="00ED6D28"/>
    <w:rsid w:val="00EE2A8D"/>
    <w:rsid w:val="00EE3B24"/>
    <w:rsid w:val="00EF757F"/>
    <w:rsid w:val="00F022C4"/>
    <w:rsid w:val="00F03F68"/>
    <w:rsid w:val="00F05177"/>
    <w:rsid w:val="00F11B1D"/>
    <w:rsid w:val="00F12CB5"/>
    <w:rsid w:val="00F16316"/>
    <w:rsid w:val="00F32D29"/>
    <w:rsid w:val="00F55AD2"/>
    <w:rsid w:val="00F76607"/>
    <w:rsid w:val="00F80DDC"/>
    <w:rsid w:val="00F81FB2"/>
    <w:rsid w:val="00F842DC"/>
    <w:rsid w:val="00F90DAC"/>
    <w:rsid w:val="00F91AD3"/>
    <w:rsid w:val="00F92B44"/>
    <w:rsid w:val="00F9392D"/>
    <w:rsid w:val="00F94DF8"/>
    <w:rsid w:val="00F97967"/>
    <w:rsid w:val="00FA5CDA"/>
    <w:rsid w:val="00FA6862"/>
    <w:rsid w:val="00FA7AEB"/>
    <w:rsid w:val="00FB0051"/>
    <w:rsid w:val="00FB0BA1"/>
    <w:rsid w:val="00FB1D6B"/>
    <w:rsid w:val="00FB7305"/>
    <w:rsid w:val="00FC1DB6"/>
    <w:rsid w:val="00FC1F5E"/>
    <w:rsid w:val="00FC4DE2"/>
    <w:rsid w:val="00FC7115"/>
    <w:rsid w:val="00FF42B6"/>
    <w:rsid w:val="00FF57DC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 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BD3A4E"/>
    <w:pPr>
      <w:ind w:left="720"/>
    </w:pPr>
  </w:style>
  <w:style w:type="character" w:customStyle="1" w:styleId="30">
    <w:name w:val="Основен текст 3 Знак"/>
    <w:link w:val="3"/>
    <w:rsid w:val="00704D6C"/>
    <w:rPr>
      <w:rFonts w:ascii="HebarU" w:hAnsi="HebarU"/>
      <w:sz w:val="24"/>
      <w:szCs w:val="24"/>
      <w:lang w:val="bg-BG"/>
    </w:rPr>
  </w:style>
  <w:style w:type="character" w:customStyle="1" w:styleId="CharChar2">
    <w:name w:val=" Char Char2"/>
    <w:locked/>
    <w:rsid w:val="001201F6"/>
    <w:rPr>
      <w:rFonts w:ascii="HebarU" w:hAnsi="HebarU"/>
      <w:sz w:val="24"/>
      <w:szCs w:val="24"/>
      <w:lang w:val="bg-BG" w:eastAsia="en-US" w:bidi="ar-SA"/>
    </w:rPr>
  </w:style>
  <w:style w:type="paragraph" w:customStyle="1" w:styleId="31">
    <w:name w:val=" Знак Знак3"/>
    <w:basedOn w:val="a"/>
    <w:semiHidden/>
    <w:rsid w:val="001201F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d">
    <w:name w:val=" Знак Знак"/>
    <w:basedOn w:val="a"/>
    <w:link w:val="a0"/>
    <w:rsid w:val="00855E0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1"/>
    <w:basedOn w:val="a"/>
    <w:semiHidden/>
    <w:rsid w:val="004038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1">
    <w:name w:val="Char Char Char1"/>
    <w:basedOn w:val="a"/>
    <w:rsid w:val="00B765F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B876D9"/>
    <w:pPr>
      <w:ind w:left="708"/>
    </w:pPr>
  </w:style>
  <w:style w:type="character" w:customStyle="1" w:styleId="21">
    <w:name w:val="Основен текст 2 Знак"/>
    <w:link w:val="20"/>
    <w:rsid w:val="005C3DFC"/>
    <w:rPr>
      <w:sz w:val="22"/>
      <w:szCs w:val="24"/>
      <w:lang w:eastAsia="en-US"/>
    </w:rPr>
  </w:style>
  <w:style w:type="paragraph" w:customStyle="1" w:styleId="Default">
    <w:name w:val="Default"/>
    <w:rsid w:val="00F11B1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liana_v@abv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nov.metodi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679A-9E78-432F-AA3B-4EE963B1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15603</CharactersWithSpaces>
  <SharedDoc>false</SharedDoc>
  <HLinks>
    <vt:vector size="12" baseType="variant"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mailto:juliana_v@abv.bg</vt:lpwstr>
      </vt:variant>
      <vt:variant>
        <vt:lpwstr/>
      </vt:variant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mailto:marinov.metodi@gmail.com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cp:lastModifiedBy>v_koparanska</cp:lastModifiedBy>
  <cp:revision>2</cp:revision>
  <cp:lastPrinted>2018-01-16T09:02:00Z</cp:lastPrinted>
  <dcterms:created xsi:type="dcterms:W3CDTF">2018-02-05T07:46:00Z</dcterms:created>
  <dcterms:modified xsi:type="dcterms:W3CDTF">2018-02-05T07:46:00Z</dcterms:modified>
</cp:coreProperties>
</file>