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387C11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Елисавета ясенова карамфилова</w:t>
      </w:r>
    </w:p>
    <w:bookmarkEnd w:id="0"/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387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Гешанов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2</w:t>
      </w:r>
      <w:r w:rsidR="00387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б, ет. 1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87C1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строителство“ в ПИ с идентификатор 56784.340.2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387C11">
        <w:rPr>
          <w:rFonts w:ascii="Times New Roman" w:eastAsia="Calibri" w:hAnsi="Times New Roman" w:cs="Times New Roman"/>
          <w:sz w:val="24"/>
          <w:szCs w:val="24"/>
          <w:lang w:eastAsia="bg-BG"/>
        </w:rPr>
        <w:t>Марийка Тошева, 0898445110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87C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31</w:t>
      </w:r>
      <w:r w:rsidR="00B861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87C11"/>
    <w:rsid w:val="003B1ADC"/>
    <w:rsid w:val="00431C50"/>
    <w:rsid w:val="004A71DA"/>
    <w:rsid w:val="004D41CF"/>
    <w:rsid w:val="00541CC0"/>
    <w:rsid w:val="00607697"/>
    <w:rsid w:val="0084119F"/>
    <w:rsid w:val="00B209DC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386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2018-08-31T08:29:00Z</dcterms:created>
  <dcterms:modified xsi:type="dcterms:W3CDTF">2018-08-31T08:29:00Z</dcterms:modified>
</cp:coreProperties>
</file>