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>Жилищно застрояване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в ПИ </w:t>
      </w:r>
      <w:r>
        <w:rPr>
          <w:rFonts w:ascii="Times New Roman" w:eastAsia="Times New Roman" w:hAnsi="Times New Roman" w:cs="Times New Roman"/>
          <w:sz w:val="24"/>
          <w:szCs w:val="24"/>
        </w:rPr>
        <w:t>56784.258.512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гр. Пловдив,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местност „Терзиите“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Община Пловдив. </w:t>
      </w:r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8F52BC">
        <w:rPr>
          <w:rFonts w:ascii="Times New Roman" w:eastAsia="Times New Roman" w:hAnsi="Times New Roman" w:cs="Times New Roman"/>
          <w:b/>
          <w:sz w:val="24"/>
          <w:szCs w:val="24"/>
        </w:rPr>
        <w:t>12.07.2019 г. – 26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.07.2019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Гергана Василева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6C5612"/>
    <w:rsid w:val="007D00F7"/>
    <w:rsid w:val="008F52BC"/>
    <w:rsid w:val="00BB27F9"/>
    <w:rsid w:val="00C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AD01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4</cp:revision>
  <dcterms:created xsi:type="dcterms:W3CDTF">2019-07-11T13:09:00Z</dcterms:created>
  <dcterms:modified xsi:type="dcterms:W3CDTF">2019-07-12T08:37:00Z</dcterms:modified>
</cp:coreProperties>
</file>