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D" w:rsidRPr="008C17F0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7E0FEC" w:rsidRDefault="001F280D" w:rsidP="007E0FEC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  <w:lang w:val="ru-RU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</w:t>
      </w:r>
      <w:r w:rsidR="007E0FEC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8C17F0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8C17F0">
        <w:rPr>
          <w:rFonts w:ascii="Times New Roman" w:hAnsi="Times New Roman"/>
          <w:b/>
          <w:bCs/>
          <w:sz w:val="24"/>
          <w:szCs w:val="24"/>
          <w:lang w:val="ru-RU"/>
        </w:rPr>
        <w:t>чл. 71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1 </w:t>
      </w: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1779B5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8C17F0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8C17F0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8C17F0" w:rsidRDefault="001F280D" w:rsidP="001F280D">
      <w:pPr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4B1D8F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="004B1D8F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4B1D8F">
        <w:rPr>
          <w:rFonts w:ascii="Times New Roman" w:hAnsi="Times New Roman"/>
          <w:bCs/>
          <w:iCs/>
          <w:sz w:val="24"/>
          <w:szCs w:val="24"/>
          <w:lang w:val="ru-RU"/>
        </w:rPr>
        <w:t xml:space="preserve">- </w:t>
      </w:r>
      <w:r w:rsidR="004B1D8F">
        <w:rPr>
          <w:rFonts w:ascii="Times New Roman" w:hAnsi="Times New Roman"/>
          <w:bCs/>
          <w:iCs/>
          <w:sz w:val="24"/>
          <w:szCs w:val="24"/>
          <w:lang w:val="bg-BG"/>
        </w:rPr>
        <w:t>гр. Пловдив</w:t>
      </w:r>
    </w:p>
    <w:p w:rsidR="00637BBC" w:rsidRPr="00103F72" w:rsidRDefault="00637BBC">
      <w:pPr>
        <w:rPr>
          <w:rFonts w:ascii="Times New Roman" w:hAnsi="Times New Roman"/>
        </w:rPr>
      </w:pPr>
    </w:p>
    <w:p w:rsidR="001F280D" w:rsidRPr="007E0FEC" w:rsidRDefault="001F280D" w:rsidP="001F280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</w:rPr>
      </w:pPr>
      <w:r w:rsidRPr="007E0FEC">
        <w:rPr>
          <w:b/>
          <w:bCs/>
          <w:sz w:val="36"/>
          <w:szCs w:val="36"/>
          <w:u w:val="none"/>
        </w:rPr>
        <w:t>РЕШЕНИЕ</w:t>
      </w:r>
    </w:p>
    <w:p w:rsidR="00637BBC" w:rsidRPr="00103F72" w:rsidRDefault="00637BBC" w:rsidP="0039321A">
      <w:pPr>
        <w:rPr>
          <w:rFonts w:ascii="Times New Roman" w:hAnsi="Times New Roman"/>
          <w:sz w:val="22"/>
          <w:szCs w:val="22"/>
        </w:rPr>
      </w:pPr>
    </w:p>
    <w:p w:rsidR="001F280D" w:rsidRPr="007E0FEC" w:rsidRDefault="004B1D8F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E0FEC">
        <w:rPr>
          <w:rFonts w:ascii="Times New Roman" w:hAnsi="Times New Roman"/>
          <w:b/>
          <w:sz w:val="28"/>
          <w:szCs w:val="28"/>
          <w:lang w:val="bg-BG"/>
        </w:rPr>
        <w:t>№ 09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– 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ДО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-</w:t>
      </w:r>
      <w:r w:rsidR="0052649E">
        <w:rPr>
          <w:rFonts w:ascii="Times New Roman" w:hAnsi="Times New Roman"/>
          <w:b/>
          <w:sz w:val="28"/>
          <w:szCs w:val="28"/>
          <w:lang w:val="bg-BG"/>
        </w:rPr>
        <w:t xml:space="preserve"> 1149 </w:t>
      </w:r>
      <w:r w:rsidR="004E5890" w:rsidRPr="007E0FEC">
        <w:rPr>
          <w:rFonts w:ascii="Times New Roman" w:hAnsi="Times New Roman"/>
          <w:b/>
          <w:sz w:val="28"/>
          <w:szCs w:val="28"/>
          <w:lang w:val="bg-BG"/>
        </w:rPr>
        <w:t>-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13247">
        <w:rPr>
          <w:rFonts w:ascii="Times New Roman" w:hAnsi="Times New Roman"/>
          <w:b/>
          <w:sz w:val="28"/>
          <w:szCs w:val="28"/>
          <w:lang w:val="bg-BG"/>
        </w:rPr>
        <w:t>00</w:t>
      </w:r>
      <w:r w:rsidR="00382F34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564EB6"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2B3092">
        <w:rPr>
          <w:rFonts w:ascii="Times New Roman" w:hAnsi="Times New Roman"/>
          <w:b/>
          <w:sz w:val="28"/>
          <w:szCs w:val="28"/>
        </w:rPr>
        <w:t>11</w:t>
      </w:r>
      <w:r w:rsidR="00564EB6">
        <w:rPr>
          <w:rFonts w:ascii="Times New Roman" w:hAnsi="Times New Roman"/>
          <w:b/>
          <w:sz w:val="28"/>
          <w:szCs w:val="28"/>
          <w:lang w:val="bg-BG"/>
        </w:rPr>
        <w:t>.</w:t>
      </w:r>
      <w:r w:rsidR="002B3092">
        <w:rPr>
          <w:rFonts w:ascii="Times New Roman" w:hAnsi="Times New Roman"/>
          <w:b/>
          <w:sz w:val="28"/>
          <w:szCs w:val="28"/>
        </w:rPr>
        <w:t>10</w:t>
      </w:r>
      <w:r w:rsidR="00564EB6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203522">
        <w:rPr>
          <w:rFonts w:ascii="Times New Roman" w:hAnsi="Times New Roman"/>
          <w:b/>
          <w:sz w:val="28"/>
          <w:szCs w:val="28"/>
        </w:rPr>
        <w:t>9</w:t>
      </w:r>
      <w:r w:rsidR="001F280D" w:rsidRPr="007E0FEC">
        <w:rPr>
          <w:rFonts w:ascii="Times New Roman" w:hAnsi="Times New Roman"/>
          <w:b/>
          <w:sz w:val="28"/>
          <w:szCs w:val="28"/>
          <w:lang w:val="bg-BG"/>
        </w:rPr>
        <w:t xml:space="preserve"> г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од</w:t>
      </w:r>
      <w:r w:rsidR="001F280D" w:rsidRPr="007E0FEC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1F280D" w:rsidRPr="00446422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1F280D" w:rsidRPr="00103F72" w:rsidRDefault="00BC5736" w:rsidP="00103F72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i/>
          <w:lang w:val="en-US"/>
        </w:rPr>
      </w:pPr>
      <w:r w:rsidRPr="000B4000">
        <w:rPr>
          <w:rFonts w:ascii="Times New Roman" w:hAnsi="Times New Roman"/>
        </w:rPr>
        <w:t>На основание чл. 71, ал. 1 във връзка с чл. 35, ал. 1, т. 1 от Закона за управление на отпадъците (ЗУО) и в</w:t>
      </w:r>
      <w:r w:rsidR="009C7A73" w:rsidRPr="000B4000">
        <w:rPr>
          <w:rFonts w:ascii="Times New Roman" w:hAnsi="Times New Roman"/>
        </w:rPr>
        <w:t>ъ</w:t>
      </w:r>
      <w:r w:rsidR="000B4000">
        <w:rPr>
          <w:rFonts w:ascii="Times New Roman" w:hAnsi="Times New Roman"/>
        </w:rPr>
        <w:t>в</w:t>
      </w:r>
      <w:r w:rsidR="00564EB6">
        <w:rPr>
          <w:rFonts w:ascii="Times New Roman" w:hAnsi="Times New Roman"/>
        </w:rPr>
        <w:t xml:space="preserve"> връзка със заявление № УО</w:t>
      </w:r>
      <w:r w:rsidR="00AA1F68">
        <w:rPr>
          <w:rFonts w:ascii="Times New Roman" w:hAnsi="Times New Roman"/>
        </w:rPr>
        <w:t xml:space="preserve"> </w:t>
      </w:r>
      <w:r w:rsidR="00564EB6">
        <w:rPr>
          <w:rFonts w:ascii="Times New Roman" w:hAnsi="Times New Roman"/>
        </w:rPr>
        <w:t xml:space="preserve">- </w:t>
      </w:r>
      <w:r w:rsidR="002B3092">
        <w:rPr>
          <w:rFonts w:ascii="Times New Roman" w:hAnsi="Times New Roman"/>
          <w:lang w:val="en-US"/>
        </w:rPr>
        <w:t>1520</w:t>
      </w:r>
      <w:r w:rsidR="001A506E">
        <w:rPr>
          <w:rFonts w:ascii="Times New Roman" w:hAnsi="Times New Roman"/>
          <w:lang w:val="en-US"/>
        </w:rPr>
        <w:t xml:space="preserve"> </w:t>
      </w:r>
      <w:r w:rsidR="002F6F45" w:rsidRPr="000B4000">
        <w:rPr>
          <w:rFonts w:ascii="Times New Roman" w:hAnsi="Times New Roman"/>
        </w:rPr>
        <w:t>от</w:t>
      </w:r>
      <w:r w:rsidR="00564EB6">
        <w:rPr>
          <w:rFonts w:ascii="Times New Roman" w:hAnsi="Times New Roman"/>
        </w:rPr>
        <w:t xml:space="preserve"> </w:t>
      </w:r>
      <w:r w:rsidR="002B3092">
        <w:rPr>
          <w:rFonts w:ascii="Times New Roman" w:hAnsi="Times New Roman"/>
          <w:lang w:val="en-US"/>
        </w:rPr>
        <w:t>11</w:t>
      </w:r>
      <w:r w:rsidR="00564EB6">
        <w:rPr>
          <w:rFonts w:ascii="Times New Roman" w:hAnsi="Times New Roman"/>
        </w:rPr>
        <w:t>.</w:t>
      </w:r>
      <w:r w:rsidR="002B3092">
        <w:rPr>
          <w:rFonts w:ascii="Times New Roman" w:hAnsi="Times New Roman"/>
          <w:lang w:val="en-US"/>
        </w:rPr>
        <w:t>09</w:t>
      </w:r>
      <w:r w:rsidR="00564EB6">
        <w:rPr>
          <w:rFonts w:ascii="Times New Roman" w:hAnsi="Times New Roman"/>
        </w:rPr>
        <w:t>.201</w:t>
      </w:r>
      <w:r w:rsidR="00203522">
        <w:rPr>
          <w:rFonts w:ascii="Times New Roman" w:hAnsi="Times New Roman"/>
          <w:lang w:val="en-US"/>
        </w:rPr>
        <w:t>9</w:t>
      </w:r>
      <w:r w:rsidR="002F6F45" w:rsidRPr="000B4000">
        <w:rPr>
          <w:rFonts w:ascii="Times New Roman" w:hAnsi="Times New Roman"/>
        </w:rPr>
        <w:t xml:space="preserve">  г</w:t>
      </w:r>
      <w:r w:rsidR="004B1D8F" w:rsidRPr="000B4000">
        <w:rPr>
          <w:rFonts w:ascii="Times New Roman" w:hAnsi="Times New Roman"/>
        </w:rPr>
        <w:t>од</w:t>
      </w:r>
      <w:r w:rsidR="002F6F45" w:rsidRPr="000B4000">
        <w:rPr>
          <w:rFonts w:ascii="Times New Roman" w:hAnsi="Times New Roman"/>
        </w:rPr>
        <w:t>.</w:t>
      </w:r>
      <w:r w:rsidR="002B3092">
        <w:rPr>
          <w:rFonts w:ascii="Times New Roman" w:hAnsi="Times New Roman"/>
        </w:rPr>
        <w:t xml:space="preserve"> и КП № 000</w:t>
      </w:r>
      <w:r w:rsidR="002B3092">
        <w:rPr>
          <w:rFonts w:ascii="Times New Roman" w:hAnsi="Times New Roman"/>
          <w:lang w:val="en-US"/>
        </w:rPr>
        <w:t>9212</w:t>
      </w:r>
      <w:r w:rsidR="002B3092">
        <w:rPr>
          <w:rFonts w:ascii="Times New Roman" w:hAnsi="Times New Roman"/>
        </w:rPr>
        <w:t xml:space="preserve"> от </w:t>
      </w:r>
      <w:r w:rsidR="002B3092">
        <w:rPr>
          <w:rFonts w:ascii="Times New Roman" w:hAnsi="Times New Roman"/>
          <w:lang w:val="en-US"/>
        </w:rPr>
        <w:t>09</w:t>
      </w:r>
      <w:r w:rsidR="002B3092">
        <w:rPr>
          <w:rFonts w:ascii="Times New Roman" w:hAnsi="Times New Roman"/>
        </w:rPr>
        <w:t>.</w:t>
      </w:r>
      <w:r w:rsidR="002B3092">
        <w:rPr>
          <w:rFonts w:ascii="Times New Roman" w:hAnsi="Times New Roman"/>
          <w:lang w:val="en-US"/>
        </w:rPr>
        <w:t>10</w:t>
      </w:r>
      <w:r w:rsidR="00AA1F68">
        <w:rPr>
          <w:rFonts w:ascii="Times New Roman" w:hAnsi="Times New Roman"/>
        </w:rPr>
        <w:t>.2019 г.</w:t>
      </w:r>
      <w:r w:rsidR="008A0F30">
        <w:rPr>
          <w:rFonts w:ascii="Times New Roman" w:hAnsi="Times New Roman"/>
        </w:rPr>
        <w:t xml:space="preserve"> </w:t>
      </w:r>
    </w:p>
    <w:p w:rsidR="00637BBC" w:rsidRPr="00446422" w:rsidRDefault="00637BBC" w:rsidP="005006A1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</w:rPr>
      </w:pPr>
    </w:p>
    <w:p w:rsidR="005D1A4B" w:rsidRPr="00103F72" w:rsidRDefault="001F280D" w:rsidP="00103F72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0FEC">
        <w:rPr>
          <w:rFonts w:ascii="Times New Roman" w:hAnsi="Times New Roman"/>
          <w:b/>
          <w:sz w:val="28"/>
          <w:szCs w:val="28"/>
        </w:rPr>
        <w:t>РАЗРЕШАВАМ</w:t>
      </w:r>
    </w:p>
    <w:p w:rsidR="009C7A73" w:rsidRDefault="001F280D" w:rsidP="00487956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  <w:r w:rsidRPr="00446422">
        <w:rPr>
          <w:rFonts w:ascii="Times New Roman" w:hAnsi="Times New Roman"/>
          <w:sz w:val="22"/>
          <w:szCs w:val="22"/>
          <w:lang w:val="bg-BG"/>
        </w:rPr>
        <w:t xml:space="preserve">на </w:t>
      </w:r>
    </w:p>
    <w:p w:rsidR="00377F28" w:rsidRPr="00446422" w:rsidRDefault="00377F28" w:rsidP="00487956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446422" w:rsidRDefault="00FE360E" w:rsidP="0044642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46422"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 w:rsidR="002B3092">
        <w:rPr>
          <w:rFonts w:ascii="Times New Roman" w:hAnsi="Times New Roman"/>
          <w:b/>
          <w:sz w:val="28"/>
          <w:szCs w:val="28"/>
          <w:lang w:val="bg-BG"/>
        </w:rPr>
        <w:t>ГРИЙН КЪМПАНИ - М</w:t>
      </w:r>
      <w:r w:rsidR="00446422"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 w:rsidR="0004649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AA1F68">
        <w:rPr>
          <w:rFonts w:ascii="Times New Roman" w:hAnsi="Times New Roman"/>
          <w:b/>
          <w:sz w:val="28"/>
          <w:szCs w:val="28"/>
          <w:lang w:val="bg-BG"/>
        </w:rPr>
        <w:t>ЕОО</w:t>
      </w:r>
      <w:r>
        <w:rPr>
          <w:rFonts w:ascii="Times New Roman" w:hAnsi="Times New Roman"/>
          <w:b/>
          <w:sz w:val="28"/>
          <w:szCs w:val="28"/>
          <w:lang w:val="bg-BG"/>
        </w:rPr>
        <w:t>Д</w:t>
      </w:r>
    </w:p>
    <w:p w:rsidR="002B3092" w:rsidRPr="00103F72" w:rsidRDefault="002B3092" w:rsidP="00103F72">
      <w:pPr>
        <w:rPr>
          <w:rFonts w:ascii="Times New Roman" w:hAnsi="Times New Roman"/>
          <w:b/>
          <w:sz w:val="28"/>
          <w:szCs w:val="28"/>
        </w:rPr>
      </w:pPr>
    </w:p>
    <w:p w:rsidR="00103F72" w:rsidRPr="00103F72" w:rsidRDefault="00103F72" w:rsidP="00103F7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F280D" w:rsidRPr="007E0FEC" w:rsidRDefault="001F280D" w:rsidP="001F28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0FEC">
        <w:rPr>
          <w:rFonts w:ascii="Times New Roman" w:hAnsi="Times New Roman"/>
          <w:b/>
          <w:sz w:val="24"/>
          <w:szCs w:val="24"/>
          <w:lang w:val="bg-BG"/>
        </w:rPr>
        <w:t xml:space="preserve">І. Да извършва дейности по </w:t>
      </w:r>
      <w:r w:rsidR="00853055" w:rsidRPr="007E0FEC">
        <w:rPr>
          <w:rFonts w:ascii="Times New Roman" w:hAnsi="Times New Roman"/>
          <w:b/>
          <w:sz w:val="24"/>
          <w:szCs w:val="24"/>
          <w:lang w:val="bg-BG"/>
        </w:rPr>
        <w:t>третиране</w:t>
      </w:r>
      <w:r w:rsidRPr="007E0FEC">
        <w:rPr>
          <w:rFonts w:ascii="Times New Roman" w:hAnsi="Times New Roman"/>
          <w:b/>
          <w:sz w:val="24"/>
          <w:szCs w:val="24"/>
          <w:lang w:val="bg-BG"/>
        </w:rPr>
        <w:t xml:space="preserve"> на отпадъци на </w:t>
      </w:r>
      <w:r w:rsidR="008A0F30">
        <w:rPr>
          <w:rFonts w:ascii="Times New Roman" w:hAnsi="Times New Roman"/>
          <w:b/>
          <w:sz w:val="24"/>
          <w:szCs w:val="24"/>
          <w:lang w:val="bg-BG"/>
        </w:rPr>
        <w:t>следната площадка</w:t>
      </w:r>
      <w:r w:rsidRPr="007E0FE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CA7B63" w:rsidRPr="007E0FEC" w:rsidRDefault="00CA7B63" w:rsidP="00853055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7BBC" w:rsidRPr="00103F72" w:rsidRDefault="00853055" w:rsidP="007E0FEC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E0FEC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1:</w:t>
      </w:r>
    </w:p>
    <w:p w:rsidR="002B3092" w:rsidRPr="002B3092" w:rsidRDefault="002B3092" w:rsidP="002B3092">
      <w:pPr>
        <w:numPr>
          <w:ilvl w:val="1"/>
          <w:numId w:val="2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2B3092">
        <w:rPr>
          <w:rFonts w:ascii="Times New Roman" w:hAnsi="Times New Roman"/>
          <w:bCs/>
          <w:sz w:val="24"/>
          <w:szCs w:val="24"/>
          <w:lang w:val="bg-BG"/>
        </w:rPr>
        <w:t>С местонахождение:</w:t>
      </w:r>
      <w:r w:rsidRPr="002B3092">
        <w:rPr>
          <w:rFonts w:ascii="Times New Roman" w:hAnsi="Times New Roman"/>
          <w:bCs/>
          <w:sz w:val="24"/>
          <w:szCs w:val="24"/>
          <w:lang w:val="ru-RU"/>
        </w:rPr>
        <w:t xml:space="preserve"> гр. Пловдив, област</w:t>
      </w:r>
      <w:r w:rsidRPr="002B3092">
        <w:rPr>
          <w:rFonts w:ascii="Times New Roman" w:hAnsi="Times New Roman"/>
          <w:bCs/>
          <w:sz w:val="24"/>
          <w:szCs w:val="24"/>
          <w:lang w:val="bg-BG"/>
        </w:rPr>
        <w:t xml:space="preserve"> Пловдив</w:t>
      </w:r>
      <w:r w:rsidRPr="002B309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2B3092">
        <w:rPr>
          <w:rFonts w:ascii="Times New Roman" w:hAnsi="Times New Roman"/>
          <w:bCs/>
          <w:sz w:val="24"/>
          <w:szCs w:val="24"/>
          <w:lang w:val="bg-BG"/>
        </w:rPr>
        <w:t>община Пловдив</w:t>
      </w:r>
      <w:r w:rsidRPr="002B3092">
        <w:rPr>
          <w:rFonts w:ascii="Times New Roman" w:hAnsi="Times New Roman"/>
          <w:bCs/>
          <w:sz w:val="24"/>
          <w:szCs w:val="24"/>
          <w:lang w:val="ru-RU"/>
        </w:rPr>
        <w:t>, ул.</w:t>
      </w:r>
      <w:r w:rsidRPr="002B3092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Pr="002B3092">
        <w:rPr>
          <w:rFonts w:ascii="Times New Roman" w:hAnsi="Times New Roman"/>
          <w:bCs/>
          <w:sz w:val="24"/>
          <w:szCs w:val="24"/>
          <w:lang w:val="ru-RU"/>
        </w:rPr>
        <w:t>Рогошко шосе</w:t>
      </w:r>
      <w:r w:rsidRPr="002B3092">
        <w:rPr>
          <w:rFonts w:ascii="Times New Roman" w:hAnsi="Times New Roman"/>
          <w:bCs/>
          <w:sz w:val="24"/>
          <w:szCs w:val="24"/>
          <w:lang w:val="bg-BG"/>
        </w:rPr>
        <w:t>”№ 5</w:t>
      </w:r>
      <w:r w:rsidRPr="002B3092">
        <w:rPr>
          <w:rFonts w:ascii="Times New Roman" w:hAnsi="Times New Roman"/>
          <w:bCs/>
          <w:sz w:val="24"/>
          <w:szCs w:val="24"/>
          <w:lang w:val="ru-RU"/>
        </w:rPr>
        <w:t xml:space="preserve">, част от имот 699 с </w:t>
      </w:r>
      <w:r w:rsidRPr="002B3092">
        <w:rPr>
          <w:rFonts w:ascii="Times New Roman" w:hAnsi="Times New Roman"/>
          <w:bCs/>
          <w:sz w:val="24"/>
          <w:szCs w:val="24"/>
          <w:lang w:val="bg-BG"/>
        </w:rPr>
        <w:t xml:space="preserve">УПИ № </w:t>
      </w:r>
      <w:r w:rsidRPr="002B3092">
        <w:rPr>
          <w:rFonts w:ascii="Times New Roman" w:hAnsi="Times New Roman"/>
          <w:bCs/>
          <w:sz w:val="24"/>
          <w:szCs w:val="24"/>
        </w:rPr>
        <w:t>VI</w:t>
      </w:r>
      <w:r w:rsidRPr="002B3092">
        <w:rPr>
          <w:rFonts w:ascii="Times New Roman" w:hAnsi="Times New Roman"/>
          <w:bCs/>
          <w:sz w:val="24"/>
          <w:szCs w:val="24"/>
          <w:lang w:val="bg-BG"/>
        </w:rPr>
        <w:t xml:space="preserve"> – 699 по плана на Северна Индустриална зона – Пета част, с обща част от 1 891 кв.м.</w:t>
      </w:r>
    </w:p>
    <w:p w:rsidR="00637BBC" w:rsidRPr="00103F72" w:rsidRDefault="00637BBC" w:rsidP="00103F7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B3092" w:rsidRPr="00103F72" w:rsidRDefault="00C2009F" w:rsidP="002B3092">
      <w:pPr>
        <w:numPr>
          <w:ilvl w:val="1"/>
          <w:numId w:val="2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2009F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637BBC" w:rsidRPr="00C2009F" w:rsidRDefault="00637BBC" w:rsidP="002B309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5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295"/>
        <w:gridCol w:w="2126"/>
        <w:gridCol w:w="1957"/>
        <w:gridCol w:w="1843"/>
        <w:gridCol w:w="1586"/>
      </w:tblGrid>
      <w:tr w:rsidR="002B3092" w:rsidRPr="002B3092" w:rsidTr="00CE60A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738" w:type="dxa"/>
            <w:vMerge w:val="restart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4421" w:type="dxa"/>
            <w:gridSpan w:val="2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1957" w:type="dxa"/>
            <w:vMerge w:val="restart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Дейности,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кодове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  <w:vMerge w:val="restart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Количество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86" w:type="dxa"/>
            <w:vMerge w:val="restart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2B3092" w:rsidRPr="002B3092" w:rsidTr="00CE60A7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738" w:type="dxa"/>
            <w:vMerge/>
          </w:tcPr>
          <w:p w:rsidR="002B3092" w:rsidRPr="002B3092" w:rsidRDefault="002B3092" w:rsidP="00C1648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2295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1957" w:type="dxa"/>
            <w:vMerge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  <w:vMerge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vMerge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</w:tr>
      <w:tr w:rsidR="002B3092" w:rsidRPr="002B3092" w:rsidTr="00CE60A7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738" w:type="dxa"/>
            <w:vMerge/>
          </w:tcPr>
          <w:p w:rsidR="002B3092" w:rsidRPr="002B3092" w:rsidRDefault="002B3092" w:rsidP="00C1648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2295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57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8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</w:tc>
      </w:tr>
      <w:tr w:rsidR="002B3092" w:rsidRPr="002B3092" w:rsidTr="00CE60A7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738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2295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16.01.04*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Излезли от употреба превозни средства</w:t>
            </w:r>
          </w:p>
        </w:tc>
        <w:tc>
          <w:tcPr>
            <w:tcW w:w="1957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1500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58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</w:tr>
      <w:tr w:rsidR="002B3092" w:rsidRPr="002B3092" w:rsidTr="00CE60A7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738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295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16.01.06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1957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1500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58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Лица притежаващи разрешително по чл.35 от ЗУО</w:t>
            </w:r>
          </w:p>
        </w:tc>
      </w:tr>
      <w:tr w:rsidR="002B3092" w:rsidRPr="002B3092" w:rsidTr="00CE60A7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738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295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16  06  01*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Оловни акумулаторни батерии</w:t>
            </w:r>
          </w:p>
        </w:tc>
        <w:tc>
          <w:tcPr>
            <w:tcW w:w="1957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-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58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</w:tr>
    </w:tbl>
    <w:p w:rsidR="00C2009F" w:rsidRPr="002B3092" w:rsidRDefault="00C2009F" w:rsidP="00C2009F">
      <w:pPr>
        <w:pStyle w:val="ad"/>
        <w:rPr>
          <w:sz w:val="22"/>
          <w:szCs w:val="22"/>
          <w:lang w:val="bg-BG"/>
        </w:rPr>
      </w:pPr>
    </w:p>
    <w:p w:rsidR="002B3092" w:rsidRPr="002B3092" w:rsidRDefault="002B3092" w:rsidP="002B3092">
      <w:pPr>
        <w:overflowPunct/>
        <w:autoSpaceDE/>
        <w:autoSpaceDN/>
        <w:adjustRightInd/>
        <w:ind w:left="270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B3092">
        <w:rPr>
          <w:rFonts w:ascii="Times New Roman" w:hAnsi="Times New Roman"/>
          <w:b/>
          <w:sz w:val="24"/>
          <w:szCs w:val="24"/>
          <w:lang w:val="bg-BG"/>
        </w:rPr>
        <w:t>1.2.1</w:t>
      </w:r>
      <w:r w:rsidRPr="002B3092">
        <w:rPr>
          <w:rFonts w:ascii="Times New Roman" w:hAnsi="Times New Roman"/>
          <w:sz w:val="24"/>
          <w:szCs w:val="24"/>
          <w:lang w:val="bg-BG"/>
        </w:rPr>
        <w:t>.Видовете батерии и акумулатори съгласно съответната наредба по чл. 13, ал. 1, които ще се третират:</w:t>
      </w:r>
    </w:p>
    <w:p w:rsidR="002B3092" w:rsidRPr="002B3092" w:rsidRDefault="002B3092" w:rsidP="002B309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2B3092" w:rsidRPr="002B3092" w:rsidTr="00CE60A7"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 на отпадъка съгласно Наредбата по чл. </w:t>
            </w:r>
            <w:r w:rsidRPr="002B30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2B309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от ЗУО</w:t>
            </w:r>
          </w:p>
        </w:tc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Автомобилни</w:t>
            </w:r>
          </w:p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батерии и акумулатори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Индустриални батерии и акумулатори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Портативни</w:t>
            </w:r>
          </w:p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батерии и акумулатори</w:t>
            </w:r>
          </w:p>
        </w:tc>
      </w:tr>
      <w:tr w:rsidR="002B3092" w:rsidRPr="002B3092" w:rsidTr="00CE60A7"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2B3092" w:rsidRPr="002B3092" w:rsidTr="00CE60A7"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 06 01*</w:t>
            </w:r>
          </w:p>
        </w:tc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30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30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30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</w:t>
            </w:r>
          </w:p>
        </w:tc>
      </w:tr>
      <w:tr w:rsidR="002B3092" w:rsidRPr="002B3092" w:rsidTr="00CE60A7"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92">
              <w:rPr>
                <w:rFonts w:ascii="Times New Roman" w:hAnsi="Times New Roman"/>
                <w:b/>
                <w:sz w:val="24"/>
                <w:szCs w:val="24"/>
              </w:rPr>
              <w:t>16 06 02*</w:t>
            </w:r>
          </w:p>
        </w:tc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</w:tr>
      <w:tr w:rsidR="002B3092" w:rsidRPr="002B3092" w:rsidTr="00CE60A7"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92">
              <w:rPr>
                <w:rFonts w:ascii="Times New Roman" w:hAnsi="Times New Roman"/>
                <w:b/>
                <w:sz w:val="24"/>
                <w:szCs w:val="24"/>
              </w:rPr>
              <w:t>16 06 03*</w:t>
            </w:r>
          </w:p>
        </w:tc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</w:tr>
      <w:tr w:rsidR="002B3092" w:rsidRPr="002B3092" w:rsidTr="00CE60A7"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9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</w:t>
            </w:r>
            <w:r w:rsidRPr="002B3092">
              <w:rPr>
                <w:rFonts w:ascii="Times New Roman" w:hAnsi="Times New Roman"/>
                <w:b/>
                <w:sz w:val="24"/>
                <w:szCs w:val="24"/>
              </w:rPr>
              <w:t>16 06 04</w:t>
            </w:r>
          </w:p>
        </w:tc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</w:tr>
      <w:tr w:rsidR="002B3092" w:rsidRPr="002B3092" w:rsidTr="00CE60A7"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9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</w:t>
            </w:r>
            <w:r w:rsidRPr="002B3092">
              <w:rPr>
                <w:rFonts w:ascii="Times New Roman" w:hAnsi="Times New Roman"/>
                <w:b/>
                <w:sz w:val="24"/>
                <w:szCs w:val="24"/>
              </w:rPr>
              <w:t>16 06 05</w:t>
            </w:r>
          </w:p>
        </w:tc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</w:tr>
      <w:tr w:rsidR="002B3092" w:rsidRPr="002B3092" w:rsidTr="00CE60A7"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9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</w:t>
            </w:r>
            <w:r w:rsidRPr="002B3092">
              <w:rPr>
                <w:rFonts w:ascii="Times New Roman" w:hAnsi="Times New Roman"/>
                <w:b/>
                <w:sz w:val="24"/>
                <w:szCs w:val="24"/>
              </w:rPr>
              <w:t>20 01 33*</w:t>
            </w:r>
          </w:p>
        </w:tc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</w:tr>
      <w:tr w:rsidR="002B3092" w:rsidRPr="002B3092" w:rsidTr="00CE60A7"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9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</w:t>
            </w:r>
            <w:r w:rsidRPr="002B3092">
              <w:rPr>
                <w:rFonts w:ascii="Times New Roman" w:hAnsi="Times New Roman"/>
                <w:b/>
                <w:sz w:val="24"/>
                <w:szCs w:val="24"/>
              </w:rPr>
              <w:t>20 01 34</w:t>
            </w:r>
          </w:p>
        </w:tc>
        <w:tc>
          <w:tcPr>
            <w:tcW w:w="2444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B3092" w:rsidRPr="002B3092" w:rsidRDefault="002B3092" w:rsidP="002B3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B3092">
              <w:rPr>
                <w:rFonts w:ascii="Times New Roman" w:hAnsi="Times New Roman" w:hint="cs"/>
                <w:b/>
                <w:sz w:val="24"/>
                <w:szCs w:val="24"/>
                <w:lang w:val="ru-RU"/>
              </w:rPr>
              <w:t>□</w:t>
            </w:r>
          </w:p>
        </w:tc>
      </w:tr>
    </w:tbl>
    <w:p w:rsidR="00564EB6" w:rsidRPr="002B3092" w:rsidRDefault="00564EB6" w:rsidP="00203522">
      <w:pPr>
        <w:pStyle w:val="ad"/>
        <w:ind w:left="360"/>
        <w:jc w:val="both"/>
        <w:rPr>
          <w:sz w:val="22"/>
          <w:szCs w:val="22"/>
          <w:lang w:val="bg-BG"/>
        </w:rPr>
      </w:pPr>
    </w:p>
    <w:p w:rsidR="00CA7B63" w:rsidRDefault="00C2009F" w:rsidP="00CA7B6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1.3</w:t>
      </w:r>
      <w:r w:rsidR="00203522" w:rsidRPr="00CA7B63">
        <w:rPr>
          <w:rFonts w:ascii="Times New Roman" w:hAnsi="Times New Roman"/>
          <w:sz w:val="24"/>
          <w:szCs w:val="24"/>
          <w:lang w:val="bg-BG"/>
        </w:rPr>
        <w:t>.</w:t>
      </w:r>
      <w:r w:rsidR="004B1D8F" w:rsidRPr="00CA7B6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A7B63" w:rsidRPr="00CA7B63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667828" w:rsidRPr="00CA7B63" w:rsidRDefault="00667828" w:rsidP="00CA7B6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1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"/>
        <w:gridCol w:w="1276"/>
        <w:gridCol w:w="2126"/>
        <w:gridCol w:w="1843"/>
        <w:gridCol w:w="1559"/>
        <w:gridCol w:w="1334"/>
      </w:tblGrid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052" w:type="dxa"/>
            <w:vMerge w:val="restart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ind w:left="377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402" w:type="dxa"/>
            <w:gridSpan w:val="2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1843" w:type="dxa"/>
            <w:vMerge w:val="restart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 w:val="restart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334" w:type="dxa"/>
            <w:vMerge w:val="restart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1052" w:type="dxa"/>
            <w:vMerge/>
          </w:tcPr>
          <w:p w:rsidR="002B3092" w:rsidRPr="002B3092" w:rsidRDefault="002B3092" w:rsidP="00C1648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1843" w:type="dxa"/>
            <w:vMerge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34" w:type="dxa"/>
            <w:vMerge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1052" w:type="dxa"/>
            <w:vMerge/>
          </w:tcPr>
          <w:p w:rsidR="002B3092" w:rsidRPr="002B3092" w:rsidRDefault="002B3092" w:rsidP="00C1648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02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01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М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етални отпадъци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12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01 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01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търготини, стружки и изрезки от черни метали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12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01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04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П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рах и частици от цветни метали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12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01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03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търготини, стружки и изрезки от цветни метали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12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01 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02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П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рах и частици от черни метали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12 000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16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01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Ч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ерни метали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15 000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16 01 18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Ц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ветни метали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17 04 01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М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ед, бронз, месинг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04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02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А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луминий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17 04 03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лово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15 000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17 04 04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Ц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инк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17 04 05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Чугун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и стомана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15 000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17 04 06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алай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1000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04 07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меси от метали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17 04 11</w:t>
            </w: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абели, различни от упоменатите в 17 04 10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15 000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19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10 01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тпадъци от </w:t>
            </w: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чугун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и стомана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15 000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19 10 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02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тпадъци от цветни метали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19 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12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02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Ч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ерни метали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19 12 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03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Ц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ветни метали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2B3092" w:rsidRPr="002B3092" w:rsidTr="00A516F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52" w:type="dxa"/>
          </w:tcPr>
          <w:p w:rsidR="002B3092" w:rsidRPr="002B3092" w:rsidRDefault="002B3092" w:rsidP="00C164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20</w:t>
            </w:r>
            <w:r w:rsidR="00A516FB" w:rsidRPr="00C1648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01 40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3092">
              <w:rPr>
                <w:rFonts w:ascii="Times New Roman" w:hAnsi="Times New Roman"/>
                <w:sz w:val="22"/>
                <w:szCs w:val="22"/>
                <w:lang w:val="bg-BG"/>
              </w:rPr>
              <w:t>М</w:t>
            </w:r>
            <w:r w:rsidRPr="002B3092">
              <w:rPr>
                <w:rFonts w:ascii="Times New Roman" w:hAnsi="Times New Roman"/>
                <w:sz w:val="22"/>
                <w:szCs w:val="22"/>
                <w:lang w:val="en-GB"/>
              </w:rPr>
              <w:t>етали</w:t>
            </w:r>
          </w:p>
        </w:tc>
        <w:tc>
          <w:tcPr>
            <w:tcW w:w="1843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</w:t>
            </w:r>
            <w:r w:rsidRPr="002B30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13-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Съхраняване на отпадъци до извършването на някоя от дейностите с кодове R 1 – R 12, с изключение на временното съхраняване на отпадъците на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10 000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т/год</w:t>
            </w:r>
          </w:p>
        </w:tc>
        <w:tc>
          <w:tcPr>
            <w:tcW w:w="1334" w:type="dxa"/>
          </w:tcPr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2B3092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2B3092" w:rsidRPr="002B3092" w:rsidRDefault="002B3092" w:rsidP="00C164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1A506E" w:rsidRPr="00103F72" w:rsidRDefault="001A506E" w:rsidP="00103F72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9B0628" w:rsidRDefault="009B0628" w:rsidP="009B062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Б.</w:t>
      </w:r>
      <w:r w:rsidRPr="0066782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67828">
        <w:rPr>
          <w:rFonts w:ascii="Times New Roman" w:hAnsi="Times New Roman"/>
          <w:b/>
          <w:sz w:val="24"/>
          <w:szCs w:val="24"/>
        </w:rPr>
        <w:t>M</w:t>
      </w:r>
      <w:r w:rsidRPr="00667828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Pr="0066782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667828">
        <w:rPr>
          <w:rFonts w:ascii="Times New Roman" w:hAnsi="Times New Roman"/>
          <w:b/>
          <w:sz w:val="24"/>
          <w:szCs w:val="24"/>
          <w:lang w:val="bg-BG"/>
        </w:rPr>
        <w:t>вид и капацитет на съоръженията:</w:t>
      </w:r>
    </w:p>
    <w:p w:rsidR="00667828" w:rsidRPr="00667828" w:rsidRDefault="00667828" w:rsidP="009B062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A7B63" w:rsidRPr="00667828" w:rsidRDefault="00CA7B63" w:rsidP="00CA7B63">
      <w:pPr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На територията на площадката да е изградена необходимата за дейността инфраструктура:</w:t>
      </w:r>
    </w:p>
    <w:p w:rsidR="00CA7B63" w:rsidRPr="00667828" w:rsidRDefault="00CA7B63" w:rsidP="00CA7B63">
      <w:pPr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CA7B63" w:rsidRPr="00667828" w:rsidRDefault="00CA7B63" w:rsidP="00CA7B63">
      <w:pPr>
        <w:numPr>
          <w:ilvl w:val="0"/>
          <w:numId w:val="14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На входа да има изграден контролен и приемателен пункт, чрез който да се осъществява входящ контрол и приемане  на отпадъците от ОЧЦМ</w:t>
      </w:r>
      <w:r w:rsidR="0052649E">
        <w:rPr>
          <w:rFonts w:ascii="Times New Roman" w:hAnsi="Times New Roman"/>
          <w:spacing w:val="-1"/>
          <w:sz w:val="24"/>
          <w:szCs w:val="24"/>
          <w:lang w:val="bg-BG"/>
        </w:rPr>
        <w:t>, ИУМС и НУБА</w:t>
      </w: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;</w:t>
      </w:r>
    </w:p>
    <w:p w:rsidR="00CA7B63" w:rsidRPr="00667828" w:rsidRDefault="00CA7B63" w:rsidP="00CA7B63">
      <w:pPr>
        <w:numPr>
          <w:ilvl w:val="0"/>
          <w:numId w:val="14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Места с обозначителни табели за съхранението на отпадъците от ОЧЦМ,</w:t>
      </w:r>
      <w:r w:rsidR="0052649E">
        <w:rPr>
          <w:rFonts w:ascii="Times New Roman" w:hAnsi="Times New Roman"/>
          <w:spacing w:val="-1"/>
          <w:sz w:val="24"/>
          <w:szCs w:val="24"/>
          <w:lang w:val="bg-BG"/>
        </w:rPr>
        <w:t xml:space="preserve"> ИУМПС и НУБА</w:t>
      </w: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 xml:space="preserve"> до предаването им на фирми, притежаващи разрешителни документи, съгласно чл. 35 от Закона за управление на отпадъците /ЗУО, ДВ, бр. 56/16.07.2019г./</w:t>
      </w:r>
    </w:p>
    <w:p w:rsidR="00CA7B63" w:rsidRPr="00667828" w:rsidRDefault="00CA7B63" w:rsidP="00CA7B63">
      <w:pPr>
        <w:numPr>
          <w:ilvl w:val="0"/>
          <w:numId w:val="14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 xml:space="preserve">Офис и битова сграда; </w:t>
      </w:r>
    </w:p>
    <w:p w:rsidR="00192217" w:rsidRPr="0048445C" w:rsidRDefault="00192217" w:rsidP="00192217">
      <w:pPr>
        <w:overflowPunct/>
        <w:autoSpaceDE/>
        <w:autoSpaceDN/>
        <w:adjustRightInd/>
        <w:ind w:left="1080"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48445C" w:rsidRPr="0048445C" w:rsidRDefault="0048445C" w:rsidP="0048445C">
      <w:pPr>
        <w:spacing w:after="120"/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48445C">
        <w:rPr>
          <w:rFonts w:ascii="Times New Roman" w:hAnsi="Times New Roman"/>
          <w:b/>
          <w:i/>
          <w:sz w:val="24"/>
          <w:szCs w:val="24"/>
          <w:lang w:val="bg-BG"/>
        </w:rPr>
        <w:t>На територията на  площадката да се</w:t>
      </w:r>
      <w:r w:rsidR="0052649E">
        <w:rPr>
          <w:rFonts w:ascii="Times New Roman" w:hAnsi="Times New Roman"/>
          <w:b/>
          <w:i/>
          <w:sz w:val="24"/>
          <w:szCs w:val="24"/>
          <w:lang w:val="bg-BG"/>
        </w:rPr>
        <w:t xml:space="preserve"> извършват дейности по събиране и съхранение на ОЧЦМ, ИУМПС и НУБА</w:t>
      </w:r>
      <w:r w:rsidRPr="0048445C">
        <w:rPr>
          <w:rFonts w:ascii="Times New Roman" w:hAnsi="Times New Roman"/>
          <w:b/>
          <w:i/>
          <w:sz w:val="24"/>
          <w:szCs w:val="24"/>
          <w:lang w:val="bg-BG"/>
        </w:rPr>
        <w:t>.</w:t>
      </w:r>
    </w:p>
    <w:p w:rsidR="0048445C" w:rsidRPr="0048445C" w:rsidRDefault="0048445C" w:rsidP="0048445C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8445C">
        <w:rPr>
          <w:rFonts w:ascii="Times New Roman" w:hAnsi="Times New Roman"/>
          <w:sz w:val="24"/>
          <w:szCs w:val="24"/>
          <w:lang w:val="bg-BG"/>
        </w:rPr>
        <w:t>За ефективната дейност, извършвана на територията на площадката, са обособени участъци, както следва:</w:t>
      </w:r>
    </w:p>
    <w:p w:rsidR="0048445C" w:rsidRPr="0048445C" w:rsidRDefault="0048445C" w:rsidP="0048445C">
      <w:pPr>
        <w:spacing w:after="120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8445C">
        <w:rPr>
          <w:rFonts w:ascii="Times New Roman" w:hAnsi="Times New Roman"/>
          <w:b/>
          <w:i/>
          <w:sz w:val="24"/>
          <w:szCs w:val="24"/>
          <w:lang w:val="ru-RU"/>
        </w:rPr>
        <w:t>Дейности по събиране, съхранение и третиране на ОЧЦМ:</w:t>
      </w:r>
    </w:p>
    <w:p w:rsidR="0048445C" w:rsidRPr="0048445C" w:rsidRDefault="0048445C" w:rsidP="0048445C">
      <w:pPr>
        <w:spacing w:after="120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>Дейностите с отпадъци</w:t>
      </w:r>
      <w:r w:rsidR="001A376C">
        <w:rPr>
          <w:rFonts w:ascii="Times New Roman" w:hAnsi="Times New Roman"/>
          <w:sz w:val="24"/>
          <w:szCs w:val="24"/>
          <w:lang w:val="ru-RU"/>
        </w:rPr>
        <w:t xml:space="preserve"> от черни и цветни метали 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да се извършват при наличие на издаден </w:t>
      </w:r>
      <w:r w:rsidRPr="0048445C">
        <w:rPr>
          <w:rFonts w:ascii="Times New Roman" w:hAnsi="Times New Roman"/>
          <w:i/>
          <w:sz w:val="24"/>
          <w:szCs w:val="24"/>
          <w:lang w:val="ru-RU"/>
        </w:rPr>
        <w:t>Сертификат за произход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, издаден от лицата, при чиято дейност се образуват и въз основа на сключен писмен договор. </w:t>
      </w:r>
    </w:p>
    <w:p w:rsidR="0048445C" w:rsidRPr="0048445C" w:rsidRDefault="0048445C" w:rsidP="0048445C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>Всички ОЧЦМ, събрани от физически и/или юридически лица да се събират разделно и временно съхраняват по подходящ начин, съгласно техния произход, вид, състав и характерни свойства, обозначени с табели, с код и наименование на съответния отпадък, съгласно Наредба № 2</w:t>
      </w:r>
      <w:r w:rsidR="001A376C">
        <w:rPr>
          <w:rFonts w:ascii="Times New Roman" w:hAnsi="Times New Roman"/>
          <w:sz w:val="24"/>
          <w:szCs w:val="24"/>
          <w:lang w:val="ru-RU"/>
        </w:rPr>
        <w:t>/2014 г.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 за класификация на отпадъците, както и в съответствие с изискванията, поставени в Закона за управление на отпадъците /обн. ДВ бр. 53 от 13.07.2012 г., изм. и доп. ДВ бр. </w:t>
      </w:r>
      <w:r>
        <w:rPr>
          <w:rFonts w:ascii="Times New Roman" w:hAnsi="Times New Roman"/>
          <w:sz w:val="24"/>
          <w:szCs w:val="24"/>
          <w:lang w:val="bg-BG"/>
        </w:rPr>
        <w:t>56</w:t>
      </w:r>
      <w:r w:rsidRPr="0048445C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48445C">
        <w:rPr>
          <w:rFonts w:ascii="Times New Roman" w:hAnsi="Times New Roman"/>
          <w:sz w:val="24"/>
          <w:szCs w:val="24"/>
          <w:lang w:val="bg-BG"/>
        </w:rPr>
        <w:t>от 16.07</w:t>
      </w:r>
      <w:r w:rsidR="001A376C">
        <w:rPr>
          <w:rFonts w:ascii="Times New Roman" w:hAnsi="Times New Roman"/>
          <w:sz w:val="24"/>
          <w:szCs w:val="24"/>
          <w:lang w:val="bg-BG"/>
        </w:rPr>
        <w:t>.2019 г</w:t>
      </w:r>
      <w:r w:rsidRPr="0048445C">
        <w:rPr>
          <w:rFonts w:ascii="Times New Roman" w:hAnsi="Times New Roman"/>
          <w:sz w:val="24"/>
          <w:szCs w:val="24"/>
          <w:lang w:val="ru-RU"/>
        </w:rPr>
        <w:t>./ и Наредбата за изискванията за третиране и транспортиране на производствени и опасни отпадъци /приета с ПМС 53/99 год /ДВ бр.29/ 99 год./.</w:t>
      </w:r>
    </w:p>
    <w:p w:rsidR="0048445C" w:rsidRPr="0048445C" w:rsidRDefault="0048445C" w:rsidP="0048445C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 xml:space="preserve">Отпадъците от черни и цветни метали с </w:t>
      </w:r>
      <w:r w:rsidRPr="0048445C">
        <w:rPr>
          <w:rFonts w:ascii="Times New Roman" w:hAnsi="Times New Roman"/>
          <w:b/>
          <w:sz w:val="24"/>
          <w:szCs w:val="24"/>
          <w:lang w:val="ru-RU"/>
        </w:rPr>
        <w:t>битов характер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 да се приемат въз основа на писмен договор, с приложена </w:t>
      </w:r>
      <w:r w:rsidRPr="0048445C">
        <w:rPr>
          <w:rFonts w:ascii="Times New Roman" w:hAnsi="Times New Roman"/>
          <w:i/>
          <w:sz w:val="24"/>
          <w:szCs w:val="24"/>
          <w:lang w:val="ru-RU"/>
        </w:rPr>
        <w:t>Декларация за произход.</w:t>
      </w:r>
    </w:p>
    <w:p w:rsidR="0048445C" w:rsidRPr="0048445C" w:rsidRDefault="0048445C" w:rsidP="0048445C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>При  последващо предаване на тези отпадъци за извършване на търговска дейност, оползотворяване и рециклиране, те да се отчитат разделно, с код и наименование, съгласно Наредбата  по  чл. 3 от Закона за управление на отпадъците.</w:t>
      </w:r>
    </w:p>
    <w:p w:rsidR="0048445C" w:rsidRPr="0048445C" w:rsidRDefault="0048445C" w:rsidP="0048445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>Търговска дейност с отпадъци от черни и цветни метали</w:t>
      </w:r>
      <w:r w:rsidRPr="0048445C">
        <w:rPr>
          <w:rFonts w:ascii="Times New Roman" w:hAnsi="Times New Roman"/>
          <w:b/>
          <w:sz w:val="24"/>
          <w:szCs w:val="24"/>
          <w:lang w:val="ru-RU"/>
        </w:rPr>
        <w:t xml:space="preserve"> между лицензирани търговци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 да се извършва въз основа на писмен договор, като продавачът едновременно с предаването на стоката да предава на купувача и декларация с попълнени поредни номера на сертификатите за произход на закупените от него отпадъци.</w:t>
      </w:r>
    </w:p>
    <w:p w:rsidR="0048445C" w:rsidRPr="0048445C" w:rsidRDefault="0048445C" w:rsidP="0048445C">
      <w:pPr>
        <w:spacing w:after="120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516FB" w:rsidRPr="00A516FB" w:rsidRDefault="00A516FB" w:rsidP="00A516F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A516FB">
        <w:rPr>
          <w:rFonts w:ascii="Times New Roman" w:hAnsi="Times New Roman"/>
          <w:b/>
          <w:bCs/>
          <w:sz w:val="24"/>
          <w:szCs w:val="24"/>
          <w:lang w:val="bg-BG"/>
        </w:rPr>
        <w:t>Извършване на дейности с ИУМПС</w:t>
      </w:r>
      <w:r w:rsidRPr="00A516FB">
        <w:rPr>
          <w:rFonts w:ascii="Times New Roman" w:hAnsi="Times New Roman"/>
          <w:b/>
          <w:bCs/>
          <w:sz w:val="24"/>
          <w:szCs w:val="24"/>
        </w:rPr>
        <w:t>:</w:t>
      </w:r>
      <w:r w:rsidRPr="00A516FB"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A516FB" w:rsidRPr="00A516FB" w:rsidRDefault="00A516FB" w:rsidP="00A516F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A516FB">
        <w:rPr>
          <w:rFonts w:ascii="Times New Roman" w:hAnsi="Times New Roman"/>
          <w:bCs/>
          <w:sz w:val="24"/>
          <w:szCs w:val="24"/>
          <w:lang w:val="bg-BG"/>
        </w:rPr>
        <w:t xml:space="preserve">  </w:t>
      </w:r>
      <w:r w:rsidRPr="00A516FB">
        <w:rPr>
          <w:rFonts w:ascii="Times New Roman" w:hAnsi="Times New Roman"/>
          <w:bCs/>
          <w:sz w:val="24"/>
          <w:szCs w:val="24"/>
        </w:rPr>
        <w:t xml:space="preserve">   </w:t>
      </w:r>
      <w:r w:rsidRPr="00A516FB">
        <w:rPr>
          <w:rFonts w:ascii="Times New Roman" w:hAnsi="Times New Roman"/>
          <w:bCs/>
          <w:sz w:val="24"/>
          <w:szCs w:val="24"/>
          <w:lang w:val="bg-BG"/>
        </w:rPr>
        <w:t xml:space="preserve">Площадката за събиране и временно съхраняване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да </w:t>
      </w:r>
      <w:r w:rsidRPr="00A516FB">
        <w:rPr>
          <w:rFonts w:ascii="Times New Roman" w:hAnsi="Times New Roman"/>
          <w:bCs/>
          <w:sz w:val="24"/>
          <w:szCs w:val="24"/>
          <w:lang w:val="bg-BG"/>
        </w:rPr>
        <w:t xml:space="preserve">отговаря на изискванията на ЗУО и на минималните технически изисквания по т. I от </w:t>
      </w:r>
      <w:r w:rsidRPr="00A516FB">
        <w:rPr>
          <w:rFonts w:ascii="Times New Roman" w:hAnsi="Times New Roman"/>
          <w:bCs/>
          <w:i/>
          <w:sz w:val="24"/>
          <w:szCs w:val="24"/>
          <w:lang w:val="bg-BG"/>
        </w:rPr>
        <w:t xml:space="preserve">приложение № </w:t>
      </w:r>
      <w:r w:rsidRPr="00A516FB">
        <w:rPr>
          <w:rFonts w:ascii="Times New Roman" w:hAnsi="Times New Roman"/>
          <w:bCs/>
          <w:i/>
          <w:sz w:val="24"/>
          <w:szCs w:val="24"/>
        </w:rPr>
        <w:t>3</w:t>
      </w:r>
      <w:r w:rsidRPr="00A516FB">
        <w:rPr>
          <w:rFonts w:ascii="Times New Roman" w:hAnsi="Times New Roman"/>
          <w:bCs/>
          <w:i/>
          <w:sz w:val="24"/>
          <w:szCs w:val="24"/>
          <w:lang w:val="bg-BG"/>
        </w:rPr>
        <w:t xml:space="preserve"> към Наредба за излезлите от употреба моторни превозни средства (Приета с ПМС № 11 от 15.01.2013 г., изм. и доп.ДВ.бр.</w:t>
      </w:r>
      <w:r w:rsidRPr="00A516FB">
        <w:rPr>
          <w:rFonts w:ascii="Times New Roman" w:hAnsi="Times New Roman"/>
          <w:bCs/>
          <w:i/>
          <w:sz w:val="24"/>
          <w:szCs w:val="24"/>
        </w:rPr>
        <w:t>60</w:t>
      </w:r>
      <w:r w:rsidRPr="00A516FB">
        <w:rPr>
          <w:rFonts w:ascii="Times New Roman" w:hAnsi="Times New Roman"/>
          <w:bCs/>
          <w:i/>
          <w:sz w:val="24"/>
          <w:szCs w:val="24"/>
          <w:lang w:val="bg-BG"/>
        </w:rPr>
        <w:t>/</w:t>
      </w:r>
      <w:r w:rsidRPr="00A516FB">
        <w:rPr>
          <w:rFonts w:ascii="Times New Roman" w:hAnsi="Times New Roman"/>
          <w:bCs/>
          <w:i/>
          <w:sz w:val="24"/>
          <w:szCs w:val="24"/>
        </w:rPr>
        <w:t>20.07.2018</w:t>
      </w:r>
      <w:r w:rsidRPr="00A516FB">
        <w:rPr>
          <w:rFonts w:ascii="Times New Roman" w:hAnsi="Times New Roman"/>
          <w:bCs/>
          <w:i/>
          <w:sz w:val="24"/>
          <w:szCs w:val="24"/>
          <w:lang w:val="bg-BG"/>
        </w:rPr>
        <w:t>г.</w:t>
      </w:r>
      <w:r w:rsidRPr="00A516FB">
        <w:rPr>
          <w:rFonts w:ascii="Times New Roman" w:hAnsi="Times New Roman"/>
          <w:bCs/>
          <w:i/>
          <w:sz w:val="24"/>
          <w:szCs w:val="24"/>
        </w:rPr>
        <w:t>)</w:t>
      </w:r>
    </w:p>
    <w:p w:rsidR="00103F72" w:rsidRDefault="00A516FB" w:rsidP="00103F7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516FB">
        <w:rPr>
          <w:rFonts w:ascii="Times New Roman" w:hAnsi="Times New Roman"/>
          <w:bCs/>
          <w:sz w:val="24"/>
          <w:szCs w:val="24"/>
        </w:rPr>
        <w:t xml:space="preserve">    </w:t>
      </w:r>
      <w:r w:rsidRPr="00A516FB">
        <w:rPr>
          <w:rFonts w:ascii="Times New Roman" w:hAnsi="Times New Roman"/>
          <w:bCs/>
          <w:sz w:val="24"/>
          <w:szCs w:val="24"/>
          <w:lang w:val="bg-BG"/>
        </w:rPr>
        <w:t xml:space="preserve">ИУМПС да се приемат на площадката след претегляне  и щателно преглеждане в това число и документално. </w:t>
      </w:r>
      <w:r>
        <w:rPr>
          <w:rFonts w:ascii="Times New Roman" w:hAnsi="Times New Roman"/>
          <w:bCs/>
          <w:sz w:val="24"/>
          <w:szCs w:val="24"/>
          <w:lang w:val="bg-BG"/>
        </w:rPr>
        <w:t>Съхранението им да</w:t>
      </w:r>
      <w:r w:rsidRPr="00A516FB">
        <w:rPr>
          <w:rFonts w:ascii="Times New Roman" w:hAnsi="Times New Roman"/>
          <w:bCs/>
          <w:sz w:val="24"/>
          <w:szCs w:val="24"/>
          <w:lang w:val="bg-BG"/>
        </w:rPr>
        <w:t xml:space="preserve"> се извършва на непропусклива повърхност до предаване на лица, притежаващи документ по чл.35 </w:t>
      </w:r>
      <w:r w:rsidRPr="00A516FB">
        <w:rPr>
          <w:rFonts w:ascii="Times New Roman" w:hAnsi="Times New Roman"/>
          <w:bCs/>
          <w:sz w:val="24"/>
          <w:szCs w:val="24"/>
          <w:lang w:val="ru-RU"/>
        </w:rPr>
        <w:t>от ЗУО за отпадъци със съответния код съгласно Наредбата по чл.3 от ЗУО за класификация на отпадъците и въз основа на сключен писмен договор.</w:t>
      </w:r>
    </w:p>
    <w:p w:rsidR="00A516FB" w:rsidRPr="00103F72" w:rsidRDefault="0052649E" w:rsidP="00103F7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ru-RU"/>
        </w:rPr>
      </w:pPr>
      <w:r w:rsidRPr="00637BB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Дейностите с ИУМПС да са изцяло съобразени с изискванията на Наредбата за излезлите от употреба моторни превозни средства </w:t>
      </w:r>
      <w:r w:rsidR="00637BBC" w:rsidRPr="00637BBC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637BBC">
        <w:rPr>
          <w:rFonts w:ascii="Times New Roman" w:hAnsi="Times New Roman"/>
          <w:b/>
          <w:i/>
          <w:iCs/>
          <w:sz w:val="24"/>
          <w:szCs w:val="24"/>
          <w:lang w:val="bg-BG"/>
        </w:rPr>
        <w:t>В сила от 25.01.2013 г.</w:t>
      </w:r>
      <w:r w:rsidR="00637BBC" w:rsidRPr="00637BBC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637BBC" w:rsidRPr="00637BBC">
        <w:rPr>
          <w:rFonts w:ascii="Times New Roman" w:hAnsi="Times New Roman"/>
          <w:b/>
          <w:i/>
          <w:iCs/>
          <w:sz w:val="24"/>
          <w:szCs w:val="24"/>
          <w:lang w:val="bg-BG"/>
        </w:rPr>
        <w:t>п</w:t>
      </w:r>
      <w:r w:rsidRPr="0052649E">
        <w:rPr>
          <w:rFonts w:ascii="Times New Roman" w:hAnsi="Times New Roman"/>
          <w:b/>
          <w:i/>
          <w:iCs/>
          <w:sz w:val="24"/>
          <w:szCs w:val="24"/>
          <w:lang w:val="bg-BG"/>
        </w:rPr>
        <w:t>риета с ПМС № 11 от 15.01.2013 г.</w:t>
      </w:r>
      <w:r w:rsidR="00637BBC" w:rsidRPr="00637BBC">
        <w:rPr>
          <w:rFonts w:ascii="Times New Roman" w:hAnsi="Times New Roman"/>
          <w:b/>
          <w:i/>
          <w:iCs/>
          <w:sz w:val="24"/>
          <w:szCs w:val="24"/>
          <w:lang w:val="bg-BG"/>
        </w:rPr>
        <w:t xml:space="preserve"> изм. и доп. ДВ. бр.60 от 20 Юли 2018г./</w:t>
      </w:r>
    </w:p>
    <w:p w:rsidR="00A516FB" w:rsidRPr="00A516FB" w:rsidRDefault="00A516FB" w:rsidP="00A516F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516FB" w:rsidRPr="00A516FB" w:rsidRDefault="00A516FB" w:rsidP="00A516F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516F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516FB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Извършване на дейности с НУБА</w:t>
      </w:r>
      <w:r w:rsidRPr="00A516FB">
        <w:rPr>
          <w:rFonts w:ascii="Times New Roman" w:hAnsi="Times New Roman"/>
          <w:b/>
          <w:bCs/>
          <w:sz w:val="24"/>
          <w:szCs w:val="24"/>
        </w:rPr>
        <w:t>:</w:t>
      </w:r>
    </w:p>
    <w:p w:rsidR="00103F72" w:rsidRDefault="00A516FB" w:rsidP="00103F7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A516FB">
        <w:rPr>
          <w:rFonts w:ascii="Times New Roman" w:hAnsi="Times New Roman"/>
          <w:bCs/>
          <w:sz w:val="24"/>
          <w:szCs w:val="24"/>
          <w:lang w:val="bg-BG"/>
        </w:rPr>
        <w:t xml:space="preserve">         При извършване на дейностите с НУБА / н</w:t>
      </w:r>
      <w:r w:rsidRPr="00A516FB">
        <w:rPr>
          <w:rFonts w:ascii="Times New Roman" w:hAnsi="Times New Roman"/>
          <w:bCs/>
          <w:sz w:val="24"/>
          <w:szCs w:val="24"/>
        </w:rPr>
        <w:t xml:space="preserve">егодни за употреба батерии и акумулатори </w:t>
      </w:r>
      <w:r w:rsidRPr="00A516FB">
        <w:rPr>
          <w:rFonts w:ascii="Times New Roman" w:hAnsi="Times New Roman"/>
          <w:bCs/>
          <w:sz w:val="24"/>
          <w:szCs w:val="24"/>
          <w:lang w:val="bg-BG"/>
        </w:rPr>
        <w:t xml:space="preserve">/без никаква интервенция/, същите да се събират и съхраняват в контейнери / палети/, </w:t>
      </w:r>
      <w:r w:rsidRPr="00A516FB">
        <w:rPr>
          <w:rFonts w:ascii="Times New Roman" w:hAnsi="Times New Roman"/>
          <w:bCs/>
          <w:sz w:val="24"/>
          <w:szCs w:val="24"/>
        </w:rPr>
        <w:t xml:space="preserve">които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да </w:t>
      </w:r>
      <w:r w:rsidRPr="00A516FB">
        <w:rPr>
          <w:rFonts w:ascii="Times New Roman" w:hAnsi="Times New Roman"/>
          <w:bCs/>
          <w:sz w:val="24"/>
          <w:szCs w:val="24"/>
        </w:rPr>
        <w:t>са устойчиви спрямо веществата, съдържащи се в отпадъците и материалите, от които са изработени и не взаимодействат с тях</w:t>
      </w:r>
      <w:r w:rsidRPr="00A516FB">
        <w:rPr>
          <w:rFonts w:ascii="Times New Roman" w:hAnsi="Times New Roman"/>
          <w:bCs/>
          <w:sz w:val="24"/>
          <w:szCs w:val="24"/>
          <w:lang w:val="bg-BG"/>
        </w:rPr>
        <w:t xml:space="preserve"> . Да са разположени върху бетонирана площ под навес.</w:t>
      </w:r>
      <w:r w:rsidRPr="00A516FB">
        <w:rPr>
          <w:rFonts w:ascii="Times New Roman" w:hAnsi="Times New Roman"/>
          <w:bCs/>
          <w:sz w:val="24"/>
          <w:szCs w:val="24"/>
        </w:rPr>
        <w:t xml:space="preserve"> Осигурява се вентилация на въздух. </w:t>
      </w:r>
      <w:r w:rsidRPr="00A516FB">
        <w:rPr>
          <w:rFonts w:ascii="Times New Roman" w:hAnsi="Times New Roman"/>
          <w:bCs/>
          <w:sz w:val="24"/>
          <w:szCs w:val="24"/>
          <w:lang w:val="bg-BG"/>
        </w:rPr>
        <w:t xml:space="preserve"> Местата за поставяне на съдовете за събиране на негодните за употреба оловни акумулатори да са обозначени със следните табели: </w:t>
      </w:r>
      <w:r w:rsidRPr="00A516FB">
        <w:rPr>
          <w:rFonts w:ascii="Times New Roman" w:hAnsi="Times New Roman"/>
          <w:b/>
          <w:bCs/>
          <w:sz w:val="24"/>
          <w:szCs w:val="24"/>
          <w:lang w:val="bg-BG"/>
        </w:rPr>
        <w:t>„Събирателен пункт за негодни за употреба акумулатори”</w:t>
      </w:r>
      <w:r w:rsidRPr="00A516FB">
        <w:rPr>
          <w:rFonts w:ascii="Times New Roman" w:hAnsi="Times New Roman"/>
          <w:bCs/>
          <w:sz w:val="24"/>
          <w:szCs w:val="24"/>
          <w:lang w:val="bg-BG"/>
        </w:rPr>
        <w:t xml:space="preserve"> и „</w:t>
      </w:r>
      <w:r w:rsidRPr="00A516FB">
        <w:rPr>
          <w:rFonts w:ascii="Times New Roman" w:hAnsi="Times New Roman"/>
          <w:b/>
          <w:bCs/>
          <w:sz w:val="24"/>
          <w:szCs w:val="24"/>
          <w:lang w:val="bg-BG"/>
        </w:rPr>
        <w:t>Акумулаторите се събират задължително с електролит”</w:t>
      </w:r>
      <w:r w:rsidRPr="00A516FB">
        <w:rPr>
          <w:rFonts w:ascii="Times New Roman" w:hAnsi="Times New Roman"/>
          <w:bCs/>
          <w:sz w:val="24"/>
          <w:szCs w:val="24"/>
          <w:lang w:val="bg-BG"/>
        </w:rPr>
        <w:t xml:space="preserve">. Да се спазват разпоредбите на </w:t>
      </w:r>
      <w:r w:rsidRPr="00A516FB">
        <w:rPr>
          <w:rFonts w:ascii="Times New Roman" w:hAnsi="Times New Roman"/>
          <w:b/>
          <w:bCs/>
          <w:sz w:val="24"/>
          <w:szCs w:val="24"/>
          <w:lang w:val="bg-BG"/>
        </w:rPr>
        <w:t xml:space="preserve">Наредбата за батерии и акумулатори и за негодни за употреба батерии и акумулатори </w:t>
      </w:r>
      <w:r w:rsidRPr="00A516FB">
        <w:rPr>
          <w:rFonts w:ascii="Times New Roman" w:hAnsi="Times New Roman"/>
          <w:b/>
          <w:bCs/>
          <w:i/>
          <w:sz w:val="24"/>
          <w:szCs w:val="24"/>
          <w:lang w:val="bg-BG"/>
        </w:rPr>
        <w:t>/Обн. ДВ бр. 2 от 08.01.2013 г., изм. и доп. ДВ бр. 60 от 20.07.2018 г./.</w:t>
      </w:r>
      <w:r w:rsidRPr="00A516FB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</w:p>
    <w:p w:rsidR="00637BBC" w:rsidRPr="00103F72" w:rsidRDefault="00637BBC" w:rsidP="00103F7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Дейностите с НУБА да са изцяло съобразени с </w:t>
      </w:r>
      <w:r w:rsidRPr="00637BBC">
        <w:rPr>
          <w:rFonts w:ascii="Times New Roman" w:hAnsi="Times New Roman"/>
          <w:b/>
          <w:bCs/>
          <w:sz w:val="24"/>
          <w:szCs w:val="24"/>
          <w:lang w:val="bg-BG"/>
        </w:rPr>
        <w:t>НАРЕДБА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ТА</w:t>
      </w:r>
      <w:r w:rsidRPr="00637BBC">
        <w:rPr>
          <w:rFonts w:ascii="Times New Roman" w:hAnsi="Times New Roman"/>
          <w:b/>
          <w:bCs/>
          <w:sz w:val="24"/>
          <w:szCs w:val="24"/>
          <w:lang w:val="bg-BG"/>
        </w:rPr>
        <w:t xml:space="preserve"> ЗА БАТЕРИИ И АКУМУЛАТОРИ И ЗА НЕГОДНИ ЗА УПОТРЕБА БАТЕРИИ И АКУМУЛАТОРИ</w:t>
      </w:r>
      <w:r w:rsidRPr="00637BBC">
        <w:rPr>
          <w:rFonts w:ascii="Times New Roman" w:hAnsi="Times New Roman"/>
          <w:sz w:val="24"/>
          <w:szCs w:val="24"/>
          <w:lang w:val="bg-BG"/>
        </w:rPr>
        <w:t xml:space="preserve"> /</w:t>
      </w:r>
      <w:r w:rsidRPr="00637BBC">
        <w:rPr>
          <w:rFonts w:ascii="Times New Roman" w:hAnsi="Times New Roman"/>
          <w:i/>
          <w:iCs/>
          <w:sz w:val="24"/>
          <w:szCs w:val="24"/>
          <w:lang w:val="bg-BG"/>
        </w:rPr>
        <w:t>В сила от 08.01.2013 г.</w:t>
      </w:r>
      <w:r w:rsidRPr="00637BB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37BBC">
        <w:rPr>
          <w:rFonts w:ascii="Times New Roman" w:hAnsi="Times New Roman"/>
          <w:i/>
          <w:iCs/>
          <w:sz w:val="24"/>
          <w:szCs w:val="24"/>
          <w:lang w:val="bg-BG"/>
        </w:rPr>
        <w:t>приета с ПМС № 351 от 27.12.2012 г. изм. и доп. ДВ. бр.60 от 20 Юли 2018г.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/</w:t>
      </w:r>
    </w:p>
    <w:p w:rsidR="00637BBC" w:rsidRPr="00103F72" w:rsidRDefault="00637BBC" w:rsidP="00192217">
      <w:pPr>
        <w:tabs>
          <w:tab w:val="left" w:pos="709"/>
        </w:tabs>
        <w:overflowPunct/>
        <w:autoSpaceDE/>
        <w:autoSpaceDN/>
        <w:adjustRightInd/>
        <w:ind w:left="720" w:right="80"/>
        <w:textAlignment w:val="auto"/>
        <w:rPr>
          <w:rFonts w:ascii="Times New Roman" w:hAnsi="Times New Roman"/>
          <w:sz w:val="24"/>
          <w:szCs w:val="24"/>
        </w:rPr>
      </w:pPr>
    </w:p>
    <w:p w:rsidR="00192217" w:rsidRPr="00667828" w:rsidRDefault="00192217" w:rsidP="00192217">
      <w:pPr>
        <w:ind w:left="720"/>
        <w:rPr>
          <w:rFonts w:ascii="Times New Roman" w:hAnsi="Times New Roman"/>
          <w:b/>
          <w:sz w:val="24"/>
          <w:szCs w:val="24"/>
        </w:rPr>
      </w:pPr>
      <w:r w:rsidRPr="00667828">
        <w:rPr>
          <w:rFonts w:ascii="Times New Roman" w:hAnsi="Times New Roman"/>
          <w:b/>
          <w:bCs/>
          <w:sz w:val="24"/>
          <w:szCs w:val="24"/>
        </w:rPr>
        <w:t>III.</w:t>
      </w:r>
      <w:r w:rsidRPr="00667828">
        <w:rPr>
          <w:rFonts w:ascii="Times New Roman" w:hAnsi="Times New Roman"/>
          <w:b/>
          <w:sz w:val="24"/>
          <w:szCs w:val="24"/>
        </w:rPr>
        <w:t xml:space="preserve"> Условия, при които да се извършват дейностите по третиране на отпадъци:</w:t>
      </w:r>
    </w:p>
    <w:p w:rsidR="001C6898" w:rsidRPr="00667828" w:rsidRDefault="001C6898" w:rsidP="002359A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2217" w:rsidRPr="00667828" w:rsidRDefault="00192217" w:rsidP="00192217">
      <w:pPr>
        <w:pStyle w:val="20"/>
        <w:numPr>
          <w:ilvl w:val="0"/>
          <w:numId w:val="9"/>
        </w:numPr>
        <w:ind w:left="284" w:right="-143" w:hanging="284"/>
        <w:rPr>
          <w:sz w:val="24"/>
        </w:rPr>
      </w:pPr>
      <w:r w:rsidRPr="00667828">
        <w:rPr>
          <w:sz w:val="24"/>
          <w:lang w:val="ru-RU"/>
        </w:rPr>
        <w:t>Предаването за последващо третиране на отпадъците</w:t>
      </w:r>
      <w:r w:rsidRPr="00667828">
        <w:rPr>
          <w:sz w:val="24"/>
        </w:rPr>
        <w:t xml:space="preserve">, включени в настоящото решение да се извършва </w:t>
      </w:r>
      <w:r w:rsidRPr="00667828">
        <w:rPr>
          <w:sz w:val="24"/>
          <w:lang w:val="ru-RU"/>
        </w:rPr>
        <w:t>само въз основа на писмен договор с лица,</w:t>
      </w:r>
      <w:r w:rsidRPr="00667828">
        <w:rPr>
          <w:sz w:val="24"/>
        </w:rPr>
        <w:t xml:space="preserve"> </w:t>
      </w:r>
      <w:r w:rsidRPr="00667828">
        <w:rPr>
          <w:sz w:val="24"/>
          <w:lang w:val="ru-RU"/>
        </w:rPr>
        <w:t>притежаващи документ по чл. 35 от ЗУО за отпадъци със съответния код, съгласно наредбата по чл. 3 от ЗУО, както следва</w:t>
      </w:r>
      <w:r w:rsidRPr="00667828">
        <w:rPr>
          <w:sz w:val="24"/>
        </w:rPr>
        <w:t>:</w:t>
      </w:r>
    </w:p>
    <w:p w:rsidR="00192217" w:rsidRPr="00667828" w:rsidRDefault="00192217" w:rsidP="00192217">
      <w:pPr>
        <w:pStyle w:val="20"/>
        <w:numPr>
          <w:ilvl w:val="0"/>
          <w:numId w:val="11"/>
        </w:numPr>
        <w:ind w:right="-143"/>
        <w:jc w:val="left"/>
        <w:rPr>
          <w:sz w:val="24"/>
          <w:lang w:val="ru-RU"/>
        </w:rPr>
      </w:pPr>
      <w:r w:rsidRPr="00667828">
        <w:rPr>
          <w:sz w:val="24"/>
        </w:rPr>
        <w:t xml:space="preserve">разрешение </w:t>
      </w:r>
      <w:r w:rsidRPr="00667828">
        <w:rPr>
          <w:sz w:val="24"/>
          <w:lang w:val="ru-RU"/>
        </w:rPr>
        <w:t>или комплексно разрешително за дейности с отпадъци</w:t>
      </w:r>
      <w:r w:rsidRPr="00667828">
        <w:rPr>
          <w:sz w:val="24"/>
        </w:rPr>
        <w:t xml:space="preserve"> по чл. 35, ал. 1 от ЗУО</w:t>
      </w:r>
      <w:r w:rsidRPr="00667828">
        <w:rPr>
          <w:sz w:val="24"/>
          <w:lang w:val="ru-RU"/>
        </w:rPr>
        <w:t>;</w:t>
      </w:r>
    </w:p>
    <w:p w:rsidR="00192217" w:rsidRPr="00667828" w:rsidRDefault="00192217" w:rsidP="00192217">
      <w:pPr>
        <w:pStyle w:val="20"/>
        <w:numPr>
          <w:ilvl w:val="0"/>
          <w:numId w:val="11"/>
        </w:numPr>
        <w:ind w:right="-143"/>
        <w:rPr>
          <w:sz w:val="24"/>
        </w:rPr>
      </w:pPr>
      <w:r w:rsidRPr="00667828">
        <w:rPr>
          <w:sz w:val="24"/>
          <w:lang w:val="ru-RU"/>
        </w:rPr>
        <w:t xml:space="preserve">регистрационен документ за дейности с отпадъци по </w:t>
      </w:r>
      <w:r w:rsidRPr="00667828">
        <w:rPr>
          <w:sz w:val="24"/>
        </w:rPr>
        <w:t xml:space="preserve">чл. 35, ал. 2, т. 3-5 от ЗУО; </w:t>
      </w:r>
    </w:p>
    <w:p w:rsidR="00192217" w:rsidRPr="00667828" w:rsidRDefault="00192217" w:rsidP="00192217">
      <w:pPr>
        <w:pStyle w:val="20"/>
        <w:numPr>
          <w:ilvl w:val="0"/>
          <w:numId w:val="11"/>
        </w:numPr>
        <w:ind w:right="-143"/>
        <w:rPr>
          <w:sz w:val="24"/>
          <w:lang w:val="ru-RU"/>
        </w:rPr>
      </w:pPr>
      <w:r w:rsidRPr="00667828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667828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left="720" w:right="-143"/>
        <w:rPr>
          <w:sz w:val="24"/>
          <w:lang w:val="ru-RU"/>
        </w:rPr>
      </w:pPr>
    </w:p>
    <w:p w:rsidR="00192217" w:rsidRPr="00667828" w:rsidRDefault="00192217" w:rsidP="00192217">
      <w:pPr>
        <w:pStyle w:val="20"/>
        <w:numPr>
          <w:ilvl w:val="0"/>
          <w:numId w:val="9"/>
        </w:numPr>
        <w:ind w:right="-143"/>
        <w:rPr>
          <w:sz w:val="24"/>
          <w:lang w:val="ru-RU"/>
        </w:rPr>
      </w:pPr>
      <w:r w:rsidRPr="00667828">
        <w:rPr>
          <w:sz w:val="24"/>
        </w:rPr>
        <w:t>Площадката за отпадъци да отговаря на следните изисквания: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right="-143"/>
        <w:rPr>
          <w:sz w:val="24"/>
        </w:rPr>
      </w:pPr>
    </w:p>
    <w:p w:rsidR="00192217" w:rsidRPr="00667828" w:rsidRDefault="00192217" w:rsidP="00192217">
      <w:pPr>
        <w:pStyle w:val="20"/>
        <w:numPr>
          <w:ilvl w:val="0"/>
          <w:numId w:val="0"/>
        </w:numPr>
        <w:ind w:right="-143" w:firstLine="284"/>
        <w:rPr>
          <w:sz w:val="24"/>
        </w:rPr>
      </w:pPr>
      <w:r w:rsidRPr="00667828">
        <w:rPr>
          <w:sz w:val="24"/>
        </w:rPr>
        <w:t xml:space="preserve">- Площадката да e изградена, оборудвана и да се експлоатира, съгласно изискванията към площадките за третиране на отпадъци, регламентирани в Приложение №2 от Наредбата за третиране и транспортиране на производствени и опасни отпадъци /ПМС 53/1999 год. – ДВ бр. 29/99г. /,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Pr="00667828">
          <w:rPr>
            <w:sz w:val="24"/>
          </w:rPr>
          <w:t>2009 г</w:t>
        </w:r>
      </w:smartTag>
      <w:r w:rsidRPr="00667828">
        <w:rPr>
          <w:sz w:val="24"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Pr="00667828">
          <w:rPr>
            <w:sz w:val="24"/>
          </w:rPr>
          <w:t>2009 г</w:t>
        </w:r>
      </w:smartTag>
      <w:r w:rsidRPr="00667828">
        <w:rPr>
          <w:sz w:val="24"/>
        </w:rPr>
        <w:t xml:space="preserve">.; изм. и доп., бр. 17 и 101 от </w:t>
      </w:r>
      <w:smartTag w:uri="urn:schemas-microsoft-com:office:smarttags" w:element="metricconverter">
        <w:smartTagPr>
          <w:attr w:name="ProductID" w:val="2010 г"/>
        </w:smartTagPr>
        <w:r w:rsidRPr="00667828">
          <w:rPr>
            <w:sz w:val="24"/>
          </w:rPr>
          <w:t>2010 г</w:t>
        </w:r>
      </w:smartTag>
      <w:r w:rsidRPr="00667828">
        <w:rPr>
          <w:sz w:val="24"/>
        </w:rPr>
        <w:t>.);</w:t>
      </w:r>
    </w:p>
    <w:p w:rsidR="00192217" w:rsidRPr="00667828" w:rsidRDefault="00192217" w:rsidP="00192217">
      <w:pPr>
        <w:pStyle w:val="3"/>
        <w:ind w:right="-143" w:firstLine="284"/>
        <w:rPr>
          <w:rFonts w:ascii="Times New Roman" w:hAnsi="Times New Roman"/>
        </w:rPr>
      </w:pPr>
      <w:r w:rsidRPr="00667828">
        <w:rPr>
          <w:rFonts w:ascii="Times New Roman" w:hAnsi="Times New Roman"/>
        </w:rPr>
        <w:t>- да е разположена в близост до пътно платно и да има осигурен достъп до него, като с това да не се създават предпоставки и условия за затрудняване на транспортното и всяко друго обслужване;</w:t>
      </w:r>
    </w:p>
    <w:p w:rsidR="00192217" w:rsidRPr="00667828" w:rsidRDefault="00192217" w:rsidP="00192217">
      <w:pPr>
        <w:pStyle w:val="3"/>
        <w:ind w:right="-143" w:firstLine="284"/>
        <w:rPr>
          <w:rFonts w:ascii="Times New Roman" w:hAnsi="Times New Roman"/>
        </w:rPr>
      </w:pPr>
      <w:r w:rsidRPr="00667828">
        <w:rPr>
          <w:rFonts w:ascii="Times New Roman" w:hAnsi="Times New Roman"/>
        </w:rPr>
        <w:t>- площадката да се намира в терен с ограничен достъп и осигурена денонощна охрана;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right="-143" w:firstLine="284"/>
        <w:rPr>
          <w:sz w:val="24"/>
        </w:rPr>
      </w:pPr>
      <w:r w:rsidRPr="00667828">
        <w:rPr>
          <w:sz w:val="24"/>
        </w:rPr>
        <w:t>- площта на площадката да е достатъчна за извършването на дейностите с отпадъци;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right="-143" w:firstLine="284"/>
        <w:rPr>
          <w:sz w:val="24"/>
        </w:rPr>
      </w:pPr>
    </w:p>
    <w:p w:rsidR="00192217" w:rsidRPr="00667828" w:rsidRDefault="00192217" w:rsidP="00192217">
      <w:pPr>
        <w:pStyle w:val="20"/>
        <w:numPr>
          <w:ilvl w:val="0"/>
          <w:numId w:val="0"/>
        </w:numPr>
        <w:ind w:left="284" w:right="-143" w:hanging="284"/>
        <w:rPr>
          <w:sz w:val="24"/>
        </w:rPr>
      </w:pPr>
      <w:r w:rsidRPr="00667828">
        <w:rPr>
          <w:b/>
          <w:sz w:val="24"/>
        </w:rPr>
        <w:t>2.1</w:t>
      </w:r>
      <w:r w:rsidRPr="00667828">
        <w:rPr>
          <w:sz w:val="24"/>
        </w:rPr>
        <w:t>.  Площадката за съхраняване на отпадъци да отговаря на следните изисквания: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left="284" w:right="-143" w:hanging="284"/>
        <w:rPr>
          <w:sz w:val="24"/>
        </w:rPr>
      </w:pP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 xml:space="preserve">- да е  оградена и с ясни надписи за предназначението на площадката, вида на    отпадъците, които се третират </w:t>
      </w:r>
      <w:r w:rsidRPr="00667828">
        <w:rPr>
          <w:rFonts w:ascii="Times New Roman" w:hAnsi="Times New Roman"/>
          <w:sz w:val="24"/>
          <w:szCs w:val="24"/>
          <w:lang w:val="bg-BG"/>
        </w:rPr>
        <w:t>на</w:t>
      </w:r>
      <w:r w:rsidRPr="00667828">
        <w:rPr>
          <w:rFonts w:ascii="Times New Roman" w:hAnsi="Times New Roman"/>
          <w:sz w:val="24"/>
          <w:szCs w:val="24"/>
        </w:rPr>
        <w:t xml:space="preserve"> нея, 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както и за </w:t>
      </w:r>
      <w:r w:rsidRPr="00667828">
        <w:rPr>
          <w:rFonts w:ascii="Times New Roman" w:hAnsi="Times New Roman"/>
          <w:sz w:val="24"/>
          <w:szCs w:val="24"/>
        </w:rPr>
        <w:t>фирмата, която я експлоатира и работното време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с клиенти</w:t>
      </w:r>
      <w:r w:rsidRPr="00667828">
        <w:rPr>
          <w:rFonts w:ascii="Times New Roman" w:hAnsi="Times New Roman"/>
          <w:sz w:val="24"/>
          <w:szCs w:val="24"/>
        </w:rPr>
        <w:t>;</w:t>
      </w:r>
    </w:p>
    <w:p w:rsidR="00192217" w:rsidRPr="0048445C" w:rsidRDefault="00192217" w:rsidP="0019221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</w:rPr>
        <w:lastRenderedPageBreak/>
        <w:t xml:space="preserve">- всички приети, както и формираните от дейността отпадъци да се съхраняват на територията на площадката, съгласно </w:t>
      </w:r>
      <w:r w:rsidRPr="00667828">
        <w:rPr>
          <w:rFonts w:ascii="Times New Roman" w:hAnsi="Times New Roman"/>
          <w:b/>
          <w:sz w:val="24"/>
          <w:szCs w:val="24"/>
        </w:rPr>
        <w:t>посочената площ от 1</w:t>
      </w:r>
      <w:r w:rsidR="00A516FB">
        <w:rPr>
          <w:rFonts w:ascii="Times New Roman" w:hAnsi="Times New Roman"/>
          <w:b/>
          <w:sz w:val="24"/>
          <w:szCs w:val="24"/>
          <w:lang w:val="bg-BG"/>
        </w:rPr>
        <w:t xml:space="preserve"> 891</w:t>
      </w:r>
      <w:r w:rsidR="0048445C">
        <w:rPr>
          <w:rFonts w:ascii="Times New Roman" w:hAnsi="Times New Roman"/>
          <w:b/>
          <w:sz w:val="24"/>
          <w:szCs w:val="24"/>
        </w:rPr>
        <w:t xml:space="preserve"> кв.</w:t>
      </w:r>
      <w:r w:rsidR="0048445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8445C">
        <w:rPr>
          <w:rFonts w:ascii="Times New Roman" w:hAnsi="Times New Roman"/>
          <w:b/>
          <w:sz w:val="24"/>
          <w:szCs w:val="24"/>
        </w:rPr>
        <w:t>м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да е оборудвана вътрешна площадка за престой на колите по време на извършване на дейностите по товарене и разтоварване на отпадъците;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  да е ясно означена и да е отделена от останалите съоръжения в обекта;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 местата и вместимостите за временно съхраняване на различните по вид отпадъци да са означени и разположени на достатъчно големи разстояния едни от други, като се има предвид и несъвместимостта на отпадъците;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 да е пожарообезопасена  чрез достатъчeн брой подходящи пожарогасители;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 да е бетонирана,  с цел лесно почистване и защита на почвата от замърсяване;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да е оборудвана  с приемателни резервоари и/или съдове за събиране и временно   съхраняване на отпадъци;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да е оборудвана  с устройства за безаварийно изпомпване и/или източване на течни отпадъци;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да разполага с налични количества абсорбенти (пръст,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7828">
        <w:rPr>
          <w:rFonts w:ascii="Times New Roman" w:hAnsi="Times New Roman"/>
          <w:sz w:val="24"/>
          <w:szCs w:val="24"/>
        </w:rPr>
        <w:t>пясък</w:t>
      </w:r>
      <w:r w:rsidRPr="00667828">
        <w:rPr>
          <w:rFonts w:ascii="Times New Roman" w:hAnsi="Times New Roman"/>
          <w:sz w:val="24"/>
          <w:szCs w:val="24"/>
          <w:lang w:val="bg-BG"/>
        </w:rPr>
        <w:t>, трици</w:t>
      </w:r>
      <w:r w:rsidRPr="00667828">
        <w:rPr>
          <w:rFonts w:ascii="Times New Roman" w:hAnsi="Times New Roman"/>
          <w:sz w:val="24"/>
          <w:szCs w:val="24"/>
        </w:rPr>
        <w:t xml:space="preserve"> и др.), използвани за ограничаване на евентуални разливи;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участъците, на които се разполагат течни отпадъци, да са с непропускливи покрития и да са оборудвани със съоръжения за събиране на разливи, както и със съответните абсорбенти, използвани за ограничаване на евентуални разливи;</w:t>
      </w:r>
    </w:p>
    <w:p w:rsidR="00192217" w:rsidRPr="000C1574" w:rsidRDefault="00192217" w:rsidP="0019221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</w:rPr>
        <w:t>- да е оборудвана  с везна за измерване на теглото на приеманите и предаваните отпадъци</w:t>
      </w:r>
      <w:r w:rsidR="000C1574">
        <w:rPr>
          <w:rFonts w:ascii="Times New Roman" w:hAnsi="Times New Roman"/>
          <w:sz w:val="24"/>
          <w:szCs w:val="24"/>
          <w:lang w:val="bg-BG"/>
        </w:rPr>
        <w:t>- собствена или под наем.</w:t>
      </w:r>
    </w:p>
    <w:p w:rsidR="00667828" w:rsidRPr="00667828" w:rsidRDefault="00667828" w:rsidP="0066782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67828">
        <w:rPr>
          <w:rFonts w:ascii="Times New Roman" w:hAnsi="Times New Roman"/>
          <w:b/>
          <w:sz w:val="24"/>
          <w:szCs w:val="24"/>
          <w:lang w:val="bg-BG"/>
        </w:rPr>
        <w:t>Да е осигурено 24 – часово видеонаблюдение, записите от което да се съхраняват на площадката за срок най – малко една година</w:t>
      </w:r>
      <w:r w:rsidRPr="00667828">
        <w:rPr>
          <w:rFonts w:ascii="Times New Roman" w:hAnsi="Times New Roman"/>
          <w:sz w:val="24"/>
          <w:szCs w:val="24"/>
          <w:lang w:val="bg-BG"/>
        </w:rPr>
        <w:t>.</w:t>
      </w:r>
    </w:p>
    <w:p w:rsidR="00192217" w:rsidRPr="00667828" w:rsidRDefault="00192217" w:rsidP="00192217">
      <w:pPr>
        <w:pStyle w:val="3"/>
        <w:ind w:left="-142" w:right="-143" w:firstLine="142"/>
        <w:rPr>
          <w:rFonts w:ascii="Times New Roman" w:hAnsi="Times New Roman"/>
          <w:color w:val="000000"/>
          <w:spacing w:val="-11"/>
        </w:rPr>
      </w:pP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color w:val="000000"/>
          <w:spacing w:val="-11"/>
          <w:sz w:val="24"/>
          <w:szCs w:val="24"/>
        </w:rPr>
        <w:t>За ефективната дейност,</w:t>
      </w:r>
      <w:r w:rsidRPr="00667828">
        <w:rPr>
          <w:rFonts w:ascii="Times New Roman" w:hAnsi="Times New Roman"/>
          <w:sz w:val="24"/>
          <w:szCs w:val="24"/>
        </w:rPr>
        <w:t xml:space="preserve"> извършвана на територията на площадката, да се обособят участъци и сектори, както следва:</w:t>
      </w:r>
    </w:p>
    <w:p w:rsidR="00192217" w:rsidRDefault="00192217" w:rsidP="00192217">
      <w:pPr>
        <w:ind w:right="-143" w:firstLine="70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637BBC" w:rsidRDefault="00637BBC" w:rsidP="00192217">
      <w:pPr>
        <w:ind w:right="-143" w:firstLine="70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637BBC" w:rsidRPr="00667828" w:rsidRDefault="00637BBC" w:rsidP="00192217">
      <w:pPr>
        <w:ind w:right="-143" w:firstLine="70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192217" w:rsidRPr="00667828" w:rsidRDefault="00192217" w:rsidP="00192217">
      <w:pPr>
        <w:numPr>
          <w:ilvl w:val="0"/>
          <w:numId w:val="24"/>
        </w:numPr>
        <w:ind w:left="567" w:right="-143" w:hanging="28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bg-BG"/>
        </w:rPr>
        <w:t xml:space="preserve">При извършване </w:t>
      </w:r>
      <w:r w:rsidRPr="00667828">
        <w:rPr>
          <w:rFonts w:ascii="Times New Roman" w:hAnsi="Times New Roman"/>
          <w:b/>
          <w:spacing w:val="-13"/>
          <w:sz w:val="24"/>
          <w:szCs w:val="24"/>
          <w:u w:val="single"/>
          <w:lang w:val="bg-BG"/>
        </w:rPr>
        <w:t>на търговска дейност с отпадъци от черни и цветни метали</w:t>
      </w:r>
      <w:r w:rsidR="00A516FB">
        <w:rPr>
          <w:rFonts w:ascii="Times New Roman" w:hAnsi="Times New Roman"/>
          <w:b/>
          <w:spacing w:val="-13"/>
          <w:sz w:val="24"/>
          <w:szCs w:val="24"/>
          <w:u w:val="single"/>
          <w:lang w:val="bg-BG"/>
        </w:rPr>
        <w:t xml:space="preserve">, ИУМПС и НУБА </w:t>
      </w:r>
      <w:r w:rsidRPr="00667828">
        <w:rPr>
          <w:rFonts w:ascii="Times New Roman" w:hAnsi="Times New Roman"/>
          <w:b/>
          <w:spacing w:val="-13"/>
          <w:sz w:val="24"/>
          <w:szCs w:val="24"/>
          <w:u w:val="single"/>
          <w:lang w:val="bg-BG"/>
        </w:rPr>
        <w:t xml:space="preserve"> да се обособят следните участъци:</w:t>
      </w:r>
    </w:p>
    <w:p w:rsidR="00192217" w:rsidRPr="00667828" w:rsidRDefault="00192217" w:rsidP="00192217">
      <w:pPr>
        <w:shd w:val="clear" w:color="auto" w:fill="FFFFFF"/>
        <w:spacing w:before="115"/>
        <w:ind w:right="-143"/>
        <w:jc w:val="both"/>
        <w:rPr>
          <w:rFonts w:ascii="Times New Roman" w:hAnsi="Times New Roman"/>
          <w:b/>
          <w:spacing w:val="-8"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spacing w:val="-8"/>
          <w:sz w:val="24"/>
          <w:szCs w:val="24"/>
          <w:lang w:val="bg-BG"/>
        </w:rPr>
        <w:t>Участък за метални отпадъци</w:t>
      </w:r>
    </w:p>
    <w:p w:rsidR="00192217" w:rsidRPr="00667828" w:rsidRDefault="00192217" w:rsidP="00192217">
      <w:pPr>
        <w:overflowPunct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>На участъка да се извършва приемане, окачествяване и временно съхранение на отпадъците от черни и цветни метали и сплавите им. Изкупените метални отпадъци и негодните остатъци от автомобилни купета да се разделят и сортират по големина, вид и свойства и да се събират в съответните участъци:</w:t>
      </w:r>
      <w:r w:rsidRPr="00667828">
        <w:rPr>
          <w:rFonts w:ascii="Times New Roman" w:hAnsi="Times New Roman"/>
          <w:spacing w:val="-8"/>
          <w:sz w:val="24"/>
          <w:szCs w:val="24"/>
          <w:lang w:val="bg-BG"/>
        </w:rPr>
        <w:t xml:space="preserve"> тежък скрап;</w:t>
      </w:r>
      <w:r w:rsidRPr="00667828">
        <w:rPr>
          <w:rFonts w:ascii="Times New Roman" w:hAnsi="Times New Roman"/>
          <w:spacing w:val="-9"/>
          <w:sz w:val="24"/>
          <w:szCs w:val="24"/>
          <w:lang w:val="bg-BG"/>
        </w:rPr>
        <w:t xml:space="preserve">   чугун; </w:t>
      </w:r>
      <w:r w:rsidRPr="00667828">
        <w:rPr>
          <w:rFonts w:ascii="Times New Roman" w:hAnsi="Times New Roman"/>
          <w:spacing w:val="-10"/>
          <w:sz w:val="24"/>
          <w:szCs w:val="24"/>
          <w:lang w:val="bg-BG"/>
        </w:rPr>
        <w:t xml:space="preserve"> лековесен скрап</w:t>
      </w:r>
      <w:r w:rsidRPr="00667828">
        <w:rPr>
          <w:rFonts w:ascii="Times New Roman" w:hAnsi="Times New Roman"/>
          <w:spacing w:val="-13"/>
          <w:sz w:val="24"/>
          <w:szCs w:val="24"/>
          <w:lang w:val="bg-BG"/>
        </w:rPr>
        <w:t xml:space="preserve"> и</w:t>
      </w:r>
      <w:r w:rsidRPr="00667828">
        <w:rPr>
          <w:rFonts w:ascii="Times New Roman" w:hAnsi="Times New Roman"/>
          <w:spacing w:val="-23"/>
          <w:sz w:val="24"/>
          <w:szCs w:val="24"/>
          <w:lang w:val="bg-BG"/>
        </w:rPr>
        <w:t xml:space="preserve"> </w:t>
      </w:r>
      <w:r w:rsidRPr="00667828">
        <w:rPr>
          <w:rFonts w:ascii="Times New Roman" w:hAnsi="Times New Roman"/>
          <w:spacing w:val="-13"/>
          <w:sz w:val="24"/>
          <w:szCs w:val="24"/>
          <w:lang w:val="bg-BG"/>
        </w:rPr>
        <w:t xml:space="preserve"> експедиция.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3"/>
          <w:sz w:val="24"/>
          <w:szCs w:val="24"/>
          <w:lang w:val="bg-BG"/>
        </w:rPr>
        <w:t>За извършването на ТД с ОЧЦМ на територията на площадката, да са обособени участъци за различните дейности: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192217" w:rsidRPr="00667828" w:rsidRDefault="00192217" w:rsidP="0019221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А. Участък тежък скрап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 xml:space="preserve">-  Разтоварване      на  превозните   средства,   доставящи </w:t>
      </w:r>
      <w:r w:rsidRPr="00667828">
        <w:rPr>
          <w:rFonts w:ascii="Times New Roman" w:hAnsi="Times New Roman"/>
          <w:spacing w:val="-31"/>
          <w:sz w:val="24"/>
          <w:szCs w:val="24"/>
          <w:lang w:val="bg-BG"/>
        </w:rPr>
        <w:t>скрап;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pacing w:val="-8"/>
          <w:sz w:val="24"/>
          <w:szCs w:val="24"/>
          <w:lang w:val="bg-BG"/>
        </w:rPr>
        <w:t xml:space="preserve">- Сортиране по размери и вид на получавания скрап и </w:t>
      </w:r>
      <w:r w:rsidRPr="00667828">
        <w:rPr>
          <w:rFonts w:ascii="Times New Roman" w:hAnsi="Times New Roman"/>
          <w:sz w:val="24"/>
          <w:szCs w:val="24"/>
          <w:lang w:val="bg-BG"/>
        </w:rPr>
        <w:t>осигуряване на разделно съхранение и обработка: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а)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плътен железен скрап, готов за експедиция;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б)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тънък железен скрап, готов за експедиция;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в)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7828">
        <w:rPr>
          <w:rFonts w:ascii="Times New Roman" w:hAnsi="Times New Roman"/>
          <w:spacing w:val="-18"/>
          <w:sz w:val="24"/>
          <w:szCs w:val="24"/>
          <w:lang w:val="bg-BG"/>
        </w:rPr>
        <w:t>чугунен скрап, дребно размерен;</w:t>
      </w:r>
      <w:r w:rsidRPr="00667828">
        <w:rPr>
          <w:rFonts w:ascii="Times New Roman" w:hAnsi="Times New Roman"/>
          <w:spacing w:val="-18"/>
          <w:sz w:val="24"/>
          <w:szCs w:val="24"/>
          <w:lang w:val="bg-BG"/>
        </w:rPr>
        <w:tab/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г)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чугунен скрап, едро размерен;</w:t>
      </w:r>
    </w:p>
    <w:p w:rsidR="000C1574" w:rsidRDefault="000C1574" w:rsidP="00192217">
      <w:pPr>
        <w:shd w:val="clear" w:color="auto" w:fill="FFFFFF"/>
        <w:ind w:right="-143"/>
        <w:jc w:val="both"/>
        <w:rPr>
          <w:rFonts w:ascii="Times New Roman" w:hAnsi="Times New Roman"/>
          <w:i/>
          <w:spacing w:val="-8"/>
          <w:sz w:val="24"/>
          <w:szCs w:val="24"/>
          <w:lang w:val="bg-BG"/>
        </w:rPr>
      </w:pP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pacing w:val="-21"/>
          <w:sz w:val="24"/>
          <w:szCs w:val="24"/>
          <w:lang w:val="bg-BG"/>
        </w:rPr>
        <w:t>Б. Сектор лековесен скрап</w:t>
      </w: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pacing w:val="-11"/>
          <w:sz w:val="24"/>
          <w:szCs w:val="24"/>
          <w:lang w:val="bg-BG"/>
        </w:rPr>
        <w:t xml:space="preserve">-  Разтоварване и сортиране за осигуряване на разделно </w:t>
      </w:r>
      <w:r w:rsidRPr="00667828">
        <w:rPr>
          <w:rFonts w:ascii="Times New Roman" w:hAnsi="Times New Roman"/>
          <w:spacing w:val="-18"/>
          <w:sz w:val="24"/>
          <w:szCs w:val="24"/>
          <w:lang w:val="bg-BG"/>
        </w:rPr>
        <w:t>съхранение и по-нататъшна обработка:</w:t>
      </w:r>
    </w:p>
    <w:p w:rsidR="00192217" w:rsidRPr="00667828" w:rsidRDefault="00192217" w:rsidP="00192217">
      <w:pPr>
        <w:shd w:val="clear" w:color="auto" w:fill="FFFFFF"/>
        <w:ind w:left="14" w:right="-143" w:firstLine="715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pacing w:val="-12"/>
          <w:sz w:val="24"/>
          <w:szCs w:val="24"/>
          <w:lang w:val="bg-BG"/>
        </w:rPr>
        <w:t>а)</w:t>
      </w:r>
      <w:r w:rsidRPr="00667828">
        <w:rPr>
          <w:rFonts w:ascii="Times New Roman" w:hAnsi="Times New Roman"/>
          <w:spacing w:val="-12"/>
          <w:sz w:val="24"/>
          <w:szCs w:val="24"/>
          <w:lang w:val="bg-BG"/>
        </w:rPr>
        <w:t xml:space="preserve"> плътен железен скрап, готов за </w:t>
      </w:r>
      <w:r w:rsidRPr="00667828">
        <w:rPr>
          <w:rFonts w:ascii="Times New Roman" w:hAnsi="Times New Roman"/>
          <w:spacing w:val="-24"/>
          <w:sz w:val="24"/>
          <w:szCs w:val="24"/>
          <w:lang w:val="bg-BG"/>
        </w:rPr>
        <w:t>експедиране;</w:t>
      </w:r>
    </w:p>
    <w:p w:rsidR="00192217" w:rsidRPr="00667828" w:rsidRDefault="00192217" w:rsidP="00192217">
      <w:pPr>
        <w:shd w:val="clear" w:color="auto" w:fill="FFFFFF"/>
        <w:ind w:left="725"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spacing w:val="-20"/>
          <w:sz w:val="24"/>
          <w:szCs w:val="24"/>
          <w:lang w:val="bg-BG"/>
        </w:rPr>
        <w:t>б)</w:t>
      </w:r>
      <w:r w:rsidRPr="00667828">
        <w:rPr>
          <w:rFonts w:ascii="Times New Roman" w:hAnsi="Times New Roman"/>
          <w:spacing w:val="-20"/>
          <w:sz w:val="24"/>
          <w:szCs w:val="24"/>
          <w:lang w:val="bg-BG"/>
        </w:rPr>
        <w:t xml:space="preserve"> тънък железен скрап, готов за експедиране ;</w:t>
      </w:r>
    </w:p>
    <w:p w:rsidR="00192217" w:rsidRPr="00667828" w:rsidRDefault="00192217" w:rsidP="00192217">
      <w:pPr>
        <w:shd w:val="clear" w:color="auto" w:fill="FFFFFF"/>
        <w:ind w:left="14" w:right="-143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lastRenderedPageBreak/>
        <w:t>в)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чугунен скрап дребно размерен - стифира се на </w:t>
      </w:r>
      <w:r w:rsidRPr="00667828">
        <w:rPr>
          <w:rFonts w:ascii="Times New Roman" w:hAnsi="Times New Roman"/>
          <w:spacing w:val="-22"/>
          <w:sz w:val="24"/>
          <w:szCs w:val="24"/>
          <w:lang w:val="bg-BG"/>
        </w:rPr>
        <w:t>определеното  място за съхранение на чугунен скрап;</w:t>
      </w: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pacing w:val="-23"/>
          <w:sz w:val="24"/>
          <w:szCs w:val="24"/>
          <w:lang w:val="bg-BG"/>
        </w:rPr>
        <w:t>В.  Сектор чугун</w:t>
      </w: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pacing w:val="-23"/>
          <w:sz w:val="24"/>
          <w:szCs w:val="24"/>
        </w:rPr>
      </w:pPr>
      <w:r w:rsidRPr="00667828">
        <w:rPr>
          <w:rFonts w:ascii="Times New Roman" w:hAnsi="Times New Roman"/>
          <w:spacing w:val="-12"/>
          <w:sz w:val="24"/>
          <w:szCs w:val="24"/>
          <w:lang w:val="bg-BG"/>
        </w:rPr>
        <w:t xml:space="preserve">-  Отделяне на стоманения от чугунения скрап и </w:t>
      </w:r>
      <w:r w:rsidRPr="00667828">
        <w:rPr>
          <w:rFonts w:ascii="Times New Roman" w:hAnsi="Times New Roman"/>
          <w:spacing w:val="-23"/>
          <w:sz w:val="24"/>
          <w:szCs w:val="24"/>
          <w:lang w:val="bg-BG"/>
        </w:rPr>
        <w:t>стифирането му на площадката за такъв.</w:t>
      </w:r>
    </w:p>
    <w:p w:rsidR="00192217" w:rsidRPr="00667828" w:rsidRDefault="00192217" w:rsidP="00192217">
      <w:pPr>
        <w:shd w:val="clear" w:color="auto" w:fill="FFFFFF"/>
        <w:ind w:right="-143" w:firstLine="360"/>
        <w:jc w:val="both"/>
        <w:rPr>
          <w:rFonts w:ascii="Times New Roman" w:hAnsi="Times New Roman"/>
          <w:sz w:val="24"/>
          <w:szCs w:val="24"/>
        </w:rPr>
      </w:pP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pacing w:val="-19"/>
          <w:sz w:val="24"/>
          <w:szCs w:val="24"/>
          <w:lang w:val="bg-BG"/>
        </w:rPr>
        <w:t>Г. Сектор експедиция</w:t>
      </w:r>
    </w:p>
    <w:p w:rsidR="00192217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4"/>
          <w:sz w:val="24"/>
          <w:szCs w:val="24"/>
          <w:lang w:val="bg-BG"/>
        </w:rPr>
        <w:t xml:space="preserve">Претеглянето на закупуваните и експедирани количества </w:t>
      </w:r>
      <w:r w:rsidRPr="00667828">
        <w:rPr>
          <w:rFonts w:ascii="Times New Roman" w:hAnsi="Times New Roman"/>
          <w:spacing w:val="-9"/>
          <w:sz w:val="24"/>
          <w:szCs w:val="24"/>
          <w:lang w:val="bg-BG"/>
        </w:rPr>
        <w:t>метални отпадъци да се осъществява на  кантар.</w:t>
      </w:r>
      <w:r w:rsidRPr="00667828">
        <w:rPr>
          <w:rFonts w:ascii="Times New Roman" w:hAnsi="Times New Roman"/>
          <w:spacing w:val="-7"/>
          <w:sz w:val="24"/>
          <w:szCs w:val="24"/>
          <w:lang w:val="bg-BG"/>
        </w:rPr>
        <w:t xml:space="preserve"> </w:t>
      </w:r>
    </w:p>
    <w:p w:rsidR="00A516FB" w:rsidRDefault="00A516FB" w:rsidP="00192217">
      <w:pPr>
        <w:shd w:val="clear" w:color="auto" w:fill="FFFFFF"/>
        <w:ind w:right="-143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</w:p>
    <w:p w:rsidR="00A516FB" w:rsidRDefault="00A516FB" w:rsidP="00192217">
      <w:pPr>
        <w:shd w:val="clear" w:color="auto" w:fill="FFFFFF"/>
        <w:ind w:right="-143"/>
        <w:jc w:val="both"/>
        <w:rPr>
          <w:rFonts w:ascii="Times New Roman" w:hAnsi="Times New Roman"/>
          <w:b/>
          <w:spacing w:val="-7"/>
          <w:sz w:val="24"/>
          <w:szCs w:val="24"/>
          <w:lang w:val="bg-BG"/>
        </w:rPr>
      </w:pPr>
      <w:r w:rsidRPr="00A516FB">
        <w:rPr>
          <w:rFonts w:ascii="Times New Roman" w:hAnsi="Times New Roman"/>
          <w:b/>
          <w:spacing w:val="-7"/>
          <w:sz w:val="24"/>
          <w:szCs w:val="24"/>
          <w:lang w:val="bg-BG"/>
        </w:rPr>
        <w:t>Д. Участък за съхранение на ИУМПС</w:t>
      </w:r>
    </w:p>
    <w:p w:rsidR="00A516FB" w:rsidRPr="00A516FB" w:rsidRDefault="00A516FB" w:rsidP="00192217">
      <w:pPr>
        <w:shd w:val="clear" w:color="auto" w:fill="FFFFFF"/>
        <w:ind w:right="-143"/>
        <w:jc w:val="both"/>
        <w:rPr>
          <w:rFonts w:ascii="Times New Roman" w:hAnsi="Times New Roman"/>
          <w:b/>
          <w:spacing w:val="-7"/>
          <w:sz w:val="24"/>
          <w:szCs w:val="24"/>
          <w:lang w:val="bg-BG"/>
        </w:rPr>
      </w:pPr>
    </w:p>
    <w:p w:rsidR="00A516FB" w:rsidRDefault="00A516FB" w:rsidP="00192217">
      <w:pPr>
        <w:shd w:val="clear" w:color="auto" w:fill="FFFFFF"/>
        <w:ind w:right="-143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  <w:r w:rsidRPr="00A516FB">
        <w:rPr>
          <w:rFonts w:ascii="Times New Roman" w:hAnsi="Times New Roman"/>
          <w:b/>
          <w:spacing w:val="-7"/>
          <w:sz w:val="24"/>
          <w:szCs w:val="24"/>
          <w:lang w:val="bg-BG"/>
        </w:rPr>
        <w:t>Е. Участък за съхранение на НУБА</w:t>
      </w:r>
    </w:p>
    <w:p w:rsidR="00A516FB" w:rsidRPr="00667828" w:rsidRDefault="00A516FB" w:rsidP="00192217">
      <w:pPr>
        <w:shd w:val="clear" w:color="auto" w:fill="FFFFFF"/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192217" w:rsidRPr="00667828" w:rsidRDefault="00192217" w:rsidP="00192217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 xml:space="preserve">Останалите отпадъци, формирани от дейностите на площадката, периодично да се предават на </w:t>
      </w:r>
      <w:r w:rsidRPr="00667828">
        <w:rPr>
          <w:rFonts w:ascii="Times New Roman" w:hAnsi="Times New Roman"/>
          <w:spacing w:val="-8"/>
          <w:sz w:val="24"/>
          <w:szCs w:val="24"/>
          <w:lang w:val="bg-BG"/>
        </w:rPr>
        <w:t xml:space="preserve"> фирми, притежаващи съответните документи, съгласно чл. 35 от Закона за управление на отпадъците /ЗУО, ДВ, бр. 53/2012г., посл. изм. и доп. ДВ, бр. 56/16.07.2019 г./</w:t>
      </w:r>
    </w:p>
    <w:p w:rsidR="00637BBC" w:rsidRPr="00103F72" w:rsidRDefault="00637BBC" w:rsidP="00192217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sz w:val="24"/>
          <w:szCs w:val="24"/>
        </w:rPr>
      </w:pPr>
    </w:p>
    <w:p w:rsidR="00637BBC" w:rsidRPr="00103F72" w:rsidRDefault="00192217" w:rsidP="00192217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7828">
        <w:rPr>
          <w:rFonts w:ascii="Times New Roman" w:hAnsi="Times New Roman"/>
          <w:b/>
          <w:sz w:val="24"/>
          <w:szCs w:val="24"/>
          <w:u w:val="single"/>
          <w:lang w:val="ru-RU"/>
        </w:rPr>
        <w:t>Забранява се: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>-  смесването на различни по вид, състав и свойства отпадъци;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>-  смесването на оползотворими с неоползотворими и на опасни с неопасни;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>-  нерегламентираното изхвърляне на отпадъци, извън местата и съдовете определени за разделното събиране на всеки вид, в зависимост от неговия произход  и характерни свойства, както и предаването им на лица, които не притежават необходимото разрешение  по Закона за управление на отпадъците;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>-  изгарянето на отпадъци или всяко друго нерегламентирано обезвреждане, освен временното им съхранение до предаването им за последващо третиране, рециклиране, оползотворяване и или обезвреждане на фирми, притежаващи необходимото разрешение и мощности за това.</w:t>
      </w:r>
    </w:p>
    <w:p w:rsidR="00192217" w:rsidRDefault="00192217" w:rsidP="00192217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67828">
        <w:rPr>
          <w:rFonts w:ascii="Times New Roman" w:hAnsi="Times New Roman"/>
          <w:sz w:val="24"/>
          <w:szCs w:val="24"/>
          <w:lang w:val="bg-BG"/>
        </w:rPr>
        <w:t>при аварийна ситуация с отпадъците да се предприемат мерките за безопасност в съответствие с утвърдения авариен план.</w:t>
      </w:r>
    </w:p>
    <w:p w:rsidR="00674C02" w:rsidRPr="00667828" w:rsidRDefault="00674C02" w:rsidP="00192217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74C02" w:rsidRPr="00674C02" w:rsidRDefault="00674C02" w:rsidP="00674C02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74C02">
        <w:rPr>
          <w:rFonts w:ascii="Times New Roman" w:hAnsi="Times New Roman"/>
          <w:sz w:val="24"/>
          <w:szCs w:val="24"/>
          <w:lang w:val="bg-BG"/>
        </w:rPr>
        <w:t>При извършване на дейностите с отпадъци да се предприемат следните мерки за сигурност:</w:t>
      </w:r>
    </w:p>
    <w:p w:rsidR="00674C02" w:rsidRPr="00674C02" w:rsidRDefault="00674C02" w:rsidP="00674C02">
      <w:pPr>
        <w:numPr>
          <w:ilvl w:val="0"/>
          <w:numId w:val="26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4C02">
        <w:rPr>
          <w:rFonts w:ascii="Times New Roman" w:hAnsi="Times New Roman"/>
          <w:sz w:val="24"/>
          <w:szCs w:val="24"/>
          <w:lang w:val="bg-BG"/>
        </w:rPr>
        <w:t>Експлоатацията и поддръжката на машините, съоръженията и технологичното оборудване, прилагани при аварийни действия да се извършва съобразно действащата организация на площадката;</w:t>
      </w:r>
    </w:p>
    <w:p w:rsidR="00674C02" w:rsidRPr="00674C02" w:rsidRDefault="00674C02" w:rsidP="00674C02">
      <w:pPr>
        <w:numPr>
          <w:ilvl w:val="0"/>
          <w:numId w:val="26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4C02">
        <w:rPr>
          <w:rFonts w:ascii="Times New Roman" w:hAnsi="Times New Roman"/>
          <w:sz w:val="24"/>
          <w:szCs w:val="24"/>
          <w:lang w:val="bg-BG"/>
        </w:rPr>
        <w:t>При възникване на аварийна ситуация да се уведомяват съответните органи от Единната спасителна система;</w:t>
      </w:r>
    </w:p>
    <w:p w:rsidR="00674C02" w:rsidRPr="00674C02" w:rsidRDefault="00674C02" w:rsidP="00674C02">
      <w:pPr>
        <w:numPr>
          <w:ilvl w:val="0"/>
          <w:numId w:val="26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4C02">
        <w:rPr>
          <w:rFonts w:ascii="Times New Roman" w:hAnsi="Times New Roman"/>
          <w:sz w:val="24"/>
          <w:szCs w:val="24"/>
          <w:lang w:val="bg-BG"/>
        </w:rPr>
        <w:t>При работа да се използват индивидуални средства за защита – работно облекло, ръкавици и др.;</w:t>
      </w:r>
    </w:p>
    <w:p w:rsidR="00674C02" w:rsidRPr="00674C02" w:rsidRDefault="00674C02" w:rsidP="00674C02">
      <w:pPr>
        <w:numPr>
          <w:ilvl w:val="0"/>
          <w:numId w:val="26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4C02">
        <w:rPr>
          <w:rFonts w:ascii="Times New Roman" w:hAnsi="Times New Roman"/>
          <w:sz w:val="24"/>
          <w:szCs w:val="24"/>
          <w:lang w:val="bg-BG"/>
        </w:rPr>
        <w:t>Всички работници на площадката да са инструктирани и запознати с правилата за вътрешния ред и аварийния план;</w:t>
      </w:r>
    </w:p>
    <w:p w:rsidR="00637BBC" w:rsidRPr="00103F72" w:rsidRDefault="00674C02" w:rsidP="00103F72">
      <w:pPr>
        <w:numPr>
          <w:ilvl w:val="0"/>
          <w:numId w:val="26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4C02">
        <w:rPr>
          <w:rFonts w:ascii="Times New Roman" w:hAnsi="Times New Roman"/>
          <w:sz w:val="24"/>
          <w:szCs w:val="24"/>
          <w:lang w:val="bg-BG"/>
        </w:rPr>
        <w:t>Периодично да се проверяват съдовете, в които се извършва временното съхранение на генерираните, както и на събраните от физически и/или юридически лица отпадъци, за тяхната експлоатационна готовност и цялост.</w:t>
      </w:r>
    </w:p>
    <w:p w:rsidR="00377F28" w:rsidRDefault="00192217" w:rsidP="00192217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7828">
        <w:rPr>
          <w:rFonts w:ascii="Times New Roman" w:hAnsi="Times New Roman"/>
          <w:i/>
          <w:sz w:val="24"/>
          <w:szCs w:val="24"/>
          <w:lang w:val="bg-BG"/>
        </w:rPr>
        <w:t>-</w:t>
      </w:r>
      <w:r w:rsidRPr="00667828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Pr="0066782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Съхраняване на общо количество </w:t>
      </w:r>
      <w:r w:rsidRPr="0066782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над </w:t>
      </w:r>
      <w:r w:rsidRPr="00667828">
        <w:rPr>
          <w:rFonts w:ascii="Times New Roman" w:hAnsi="Times New Roman"/>
          <w:b/>
          <w:sz w:val="24"/>
          <w:szCs w:val="24"/>
          <w:u w:val="single"/>
          <w:lang w:val="ru-RU"/>
        </w:rPr>
        <w:t>50 тона опасни отпадъци на площадката, описана в настоящето разрешително в един и същ момент от време.</w:t>
      </w:r>
    </w:p>
    <w:p w:rsidR="00103F72" w:rsidRPr="00103F72" w:rsidRDefault="00103F72" w:rsidP="00192217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7BBC" w:rsidRDefault="00103F72" w:rsidP="00103F72">
      <w:pPr>
        <w:ind w:right="-143"/>
        <w:jc w:val="both"/>
        <w:rPr>
          <w:rFonts w:ascii="Times New Roman" w:hAnsi="Times New Roman"/>
          <w:bCs/>
          <w:sz w:val="24"/>
          <w:szCs w:val="24"/>
        </w:rPr>
      </w:pPr>
      <w:r w:rsidRPr="00103F72">
        <w:rPr>
          <w:rFonts w:ascii="Times New Roman" w:hAnsi="Times New Roman"/>
          <w:b/>
          <w:bCs/>
          <w:sz w:val="24"/>
          <w:szCs w:val="24"/>
          <w:lang w:val="bg-BG"/>
        </w:rPr>
        <w:t>3.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192217" w:rsidRPr="00667828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 Закона за управление на отпадъците /ЗУО, ДВ, бр.53/2012 год.</w:t>
      </w:r>
      <w:r w:rsidR="000C1574">
        <w:rPr>
          <w:rFonts w:ascii="Times New Roman" w:hAnsi="Times New Roman"/>
          <w:bCs/>
          <w:sz w:val="24"/>
          <w:szCs w:val="24"/>
          <w:lang w:val="bg-BG"/>
        </w:rPr>
        <w:t>, посл. изм. и доп. ДВ, бр. 56</w:t>
      </w:r>
      <w:r w:rsidR="00192217" w:rsidRPr="00667828">
        <w:rPr>
          <w:rFonts w:ascii="Times New Roman" w:hAnsi="Times New Roman"/>
          <w:bCs/>
          <w:sz w:val="24"/>
          <w:szCs w:val="24"/>
          <w:lang w:val="bg-BG"/>
        </w:rPr>
        <w:t>/</w:t>
      </w:r>
      <w:r w:rsidR="000C1574">
        <w:rPr>
          <w:rFonts w:ascii="Times New Roman" w:hAnsi="Times New Roman"/>
          <w:bCs/>
          <w:sz w:val="24"/>
          <w:szCs w:val="24"/>
          <w:lang w:val="bg-BG"/>
        </w:rPr>
        <w:t xml:space="preserve">16.07.2019 </w:t>
      </w:r>
      <w:r w:rsidR="00192217" w:rsidRPr="00667828">
        <w:rPr>
          <w:rFonts w:ascii="Times New Roman" w:hAnsi="Times New Roman"/>
          <w:bCs/>
          <w:sz w:val="24"/>
          <w:szCs w:val="24"/>
          <w:lang w:val="bg-BG"/>
        </w:rPr>
        <w:t>г./</w:t>
      </w:r>
    </w:p>
    <w:p w:rsidR="00103F72" w:rsidRPr="00103F72" w:rsidRDefault="00103F72" w:rsidP="00103F72">
      <w:pPr>
        <w:ind w:left="360" w:right="-143"/>
        <w:jc w:val="both"/>
        <w:rPr>
          <w:rFonts w:ascii="Times New Roman" w:hAnsi="Times New Roman"/>
          <w:bCs/>
          <w:sz w:val="24"/>
          <w:szCs w:val="24"/>
        </w:rPr>
      </w:pPr>
    </w:p>
    <w:p w:rsidR="00637BBC" w:rsidRDefault="00377F28" w:rsidP="00103F72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9D46BA" w:rsidRPr="00667828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9D46BA" w:rsidRPr="00667828">
        <w:rPr>
          <w:rFonts w:ascii="Times New Roman" w:hAnsi="Times New Roman"/>
          <w:color w:val="000000"/>
          <w:sz w:val="24"/>
          <w:szCs w:val="24"/>
          <w:lang w:val="ru-RU"/>
        </w:rPr>
        <w:t>Измерването на количествата на постъпващите отпадъци да се извършва поотделно за всеки вид отпадък по кодове и наименование съгласно Наредбата по чл.3, ал.1 от ЗУО - Наредба №2 за класификация на отпадъците (ДВ, бр.66/2014 г./посл. изм. и доп., ДВ, бр. 46/2018г.).</w:t>
      </w:r>
    </w:p>
    <w:p w:rsidR="00103F72" w:rsidRPr="00103F72" w:rsidRDefault="00103F72" w:rsidP="00103F72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37BBC" w:rsidRDefault="00377F28" w:rsidP="009D46BA">
      <w:pPr>
        <w:ind w:right="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="009D46BA" w:rsidRPr="00667828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9D46BA" w:rsidRPr="0066782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D46BA" w:rsidRPr="00667828">
        <w:rPr>
          <w:rFonts w:ascii="Times New Roman" w:hAnsi="Times New Roman"/>
          <w:b/>
          <w:sz w:val="24"/>
          <w:szCs w:val="24"/>
          <w:lang w:val="bg-BG"/>
        </w:rPr>
        <w:t>Най-малко един месец преди изтичането на срока на действие на банковата гаранция по чл. 69, ал. 2 от ЗУО да предостави на РИОСВ-Пловдив подновена банкова гаранция.</w:t>
      </w:r>
    </w:p>
    <w:p w:rsidR="00103F72" w:rsidRPr="00103F72" w:rsidRDefault="00103F72" w:rsidP="009D46BA">
      <w:pPr>
        <w:ind w:right="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D46BA" w:rsidRPr="00667828" w:rsidRDefault="00377F28" w:rsidP="009D46BA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9D46BA" w:rsidRPr="00667828">
        <w:rPr>
          <w:rFonts w:ascii="Times New Roman" w:hAnsi="Times New Roman"/>
          <w:b/>
          <w:bCs/>
          <w:sz w:val="24"/>
          <w:szCs w:val="24"/>
          <w:lang w:val="ru-RU"/>
        </w:rPr>
        <w:t>. Да се спазват стриктно изискванията на Закона за управление на отпадъците</w:t>
      </w:r>
      <w:r w:rsidR="009D46BA" w:rsidRPr="00667828">
        <w:rPr>
          <w:rFonts w:ascii="Times New Roman" w:hAnsi="Times New Roman"/>
          <w:bCs/>
          <w:sz w:val="24"/>
          <w:szCs w:val="24"/>
          <w:lang w:val="bg-BG"/>
        </w:rPr>
        <w:t xml:space="preserve"> /ЗУО, ДВ.бр.53/2012 год.</w:t>
      </w:r>
      <w:r w:rsidR="000C1574">
        <w:rPr>
          <w:rFonts w:ascii="Times New Roman" w:hAnsi="Times New Roman"/>
          <w:bCs/>
          <w:sz w:val="24"/>
          <w:szCs w:val="24"/>
          <w:lang w:val="bg-BG"/>
        </w:rPr>
        <w:t>, посл. изм. и доп., ДВ, бр.56/16.7.2019</w:t>
      </w:r>
      <w:r w:rsidR="009D46BA" w:rsidRPr="00667828">
        <w:rPr>
          <w:rFonts w:ascii="Times New Roman" w:hAnsi="Times New Roman"/>
          <w:bCs/>
          <w:sz w:val="24"/>
          <w:szCs w:val="24"/>
          <w:lang w:val="bg-BG"/>
        </w:rPr>
        <w:t>г./</w:t>
      </w:r>
    </w:p>
    <w:p w:rsidR="00637BBC" w:rsidRPr="00667828" w:rsidRDefault="00637BBC" w:rsidP="009D46BA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637BBC" w:rsidRPr="00103F72" w:rsidRDefault="00377F28" w:rsidP="009D46B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9D46BA" w:rsidRPr="00667828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9D46BA" w:rsidRPr="00667828">
        <w:rPr>
          <w:rFonts w:ascii="Times New Roman" w:hAnsi="Times New Roman"/>
          <w:bCs/>
          <w:sz w:val="24"/>
          <w:szCs w:val="24"/>
          <w:lang w:val="bg-BG"/>
        </w:rPr>
        <w:t>След приключване на дейността, да се предприемат всички необходими мерки за възстановяване на терена, на който са извършвани дейностите с отпадъци, като същият се почисти от всички отпадъци в законоустановения срок.</w:t>
      </w:r>
    </w:p>
    <w:p w:rsidR="009B0628" w:rsidRPr="00D16FD0" w:rsidRDefault="009B0628" w:rsidP="009B0628">
      <w:pPr>
        <w:pStyle w:val="20"/>
        <w:ind w:right="0"/>
        <w:rPr>
          <w:b/>
          <w:sz w:val="24"/>
        </w:rPr>
      </w:pPr>
    </w:p>
    <w:p w:rsidR="005167A8" w:rsidRPr="009024ED" w:rsidRDefault="005167A8" w:rsidP="005167A8">
      <w:pPr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024ED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 може да бъде обжалвано чрез  РИОСВ –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9024ED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Пловдив пред Министъра на околната среда и водите и/или пред Административен съд в района, на който е постоянният адрес или седалището на Възложителя, в 14 дневен срок от съобщаването му по реда на АПК.    </w:t>
      </w:r>
    </w:p>
    <w:p w:rsidR="005167A8" w:rsidRPr="009024ED" w:rsidRDefault="005167A8" w:rsidP="005167A8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B0628" w:rsidRPr="0048445C" w:rsidRDefault="009B0628" w:rsidP="008E1FF3">
      <w:pPr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</w:pPr>
    </w:p>
    <w:p w:rsidR="00A516FB" w:rsidRPr="00A516FB" w:rsidRDefault="00A516FB" w:rsidP="00103F72">
      <w:pPr>
        <w:numPr>
          <w:ilvl w:val="12"/>
          <w:numId w:val="0"/>
        </w:numPr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667828" w:rsidRDefault="00667828" w:rsidP="005167A8">
      <w:pPr>
        <w:numPr>
          <w:ilvl w:val="12"/>
          <w:numId w:val="0"/>
        </w:numPr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103F72" w:rsidRDefault="00103F72" w:rsidP="005167A8">
      <w:pPr>
        <w:numPr>
          <w:ilvl w:val="12"/>
          <w:numId w:val="0"/>
        </w:numPr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103F72" w:rsidRPr="00103F72" w:rsidRDefault="00103F72" w:rsidP="005167A8">
      <w:pPr>
        <w:numPr>
          <w:ilvl w:val="12"/>
          <w:numId w:val="0"/>
        </w:numPr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5167A8" w:rsidRPr="005167A8" w:rsidRDefault="00A516FB" w:rsidP="005167A8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ДОЦ. СТЕФАН ШИЛЕВ</w:t>
      </w:r>
    </w:p>
    <w:p w:rsidR="005167A8" w:rsidRPr="005167A8" w:rsidRDefault="005167A8" w:rsidP="005167A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167A8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667828" w:rsidRPr="00103F72" w:rsidRDefault="00667828" w:rsidP="005167A8">
      <w:pPr>
        <w:pStyle w:val="a4"/>
        <w:numPr>
          <w:ilvl w:val="12"/>
          <w:numId w:val="0"/>
        </w:numPr>
        <w:rPr>
          <w:rFonts w:ascii="Times New Roman" w:hAnsi="Times New Roman"/>
          <w:b/>
          <w:color w:val="FF0000"/>
          <w:sz w:val="28"/>
          <w:szCs w:val="28"/>
        </w:rPr>
      </w:pPr>
    </w:p>
    <w:p w:rsidR="00704D6C" w:rsidRPr="007E0FEC" w:rsidRDefault="00704D6C" w:rsidP="00E041EC">
      <w:pPr>
        <w:jc w:val="both"/>
        <w:rPr>
          <w:rFonts w:ascii="Times New Roman" w:hAnsi="Times New Roman"/>
          <w:lang w:val="ru-RU"/>
        </w:rPr>
      </w:pPr>
    </w:p>
    <w:sectPr w:rsidR="00704D6C" w:rsidRPr="007E0FEC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7A" w:rsidRDefault="00B7307A">
      <w:r>
        <w:separator/>
      </w:r>
    </w:p>
  </w:endnote>
  <w:endnote w:type="continuationSeparator" w:id="0">
    <w:p w:rsidR="00B7307A" w:rsidRDefault="00B73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1B" w:rsidRDefault="009D4B1B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4B1B" w:rsidRDefault="009D4B1B" w:rsidP="00801E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1B" w:rsidRPr="000E6442" w:rsidRDefault="009D4B1B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1779B5">
      <w:rPr>
        <w:rStyle w:val="a9"/>
        <w:rFonts w:ascii="Times New Roman" w:hAnsi="Times New Roman"/>
        <w:noProof/>
        <w:sz w:val="22"/>
        <w:szCs w:val="22"/>
      </w:rPr>
      <w:t>12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9D4B1B" w:rsidRDefault="009D4B1B" w:rsidP="00801E5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7A" w:rsidRDefault="00B7307A">
      <w:r>
        <w:separator/>
      </w:r>
    </w:p>
  </w:footnote>
  <w:footnote w:type="continuationSeparator" w:id="0">
    <w:p w:rsidR="00B7307A" w:rsidRDefault="00B73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0F3F58"/>
    <w:multiLevelType w:val="hybridMultilevel"/>
    <w:tmpl w:val="DBEECB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3E09"/>
    <w:multiLevelType w:val="hybridMultilevel"/>
    <w:tmpl w:val="2DDA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F6167"/>
    <w:multiLevelType w:val="singleLevel"/>
    <w:tmpl w:val="EA7AF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5">
    <w:nsid w:val="2DE909C0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58028C2"/>
    <w:multiLevelType w:val="hybridMultilevel"/>
    <w:tmpl w:val="D596628C"/>
    <w:lvl w:ilvl="0" w:tplc="124404E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3724E"/>
    <w:multiLevelType w:val="hybridMultilevel"/>
    <w:tmpl w:val="2A64A814"/>
    <w:lvl w:ilvl="0" w:tplc="C50AA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FA868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3E591AF9"/>
    <w:multiLevelType w:val="hybridMultilevel"/>
    <w:tmpl w:val="6C6A84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BA46EC"/>
    <w:multiLevelType w:val="hybridMultilevel"/>
    <w:tmpl w:val="368CFCB8"/>
    <w:lvl w:ilvl="0" w:tplc="90D854A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1574D"/>
    <w:multiLevelType w:val="hybridMultilevel"/>
    <w:tmpl w:val="1000414A"/>
    <w:lvl w:ilvl="0" w:tplc="6E4A8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942B6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7C72664"/>
    <w:multiLevelType w:val="multilevel"/>
    <w:tmpl w:val="E2E87B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E5A63F5"/>
    <w:multiLevelType w:val="hybridMultilevel"/>
    <w:tmpl w:val="A17CA4CE"/>
    <w:lvl w:ilvl="0" w:tplc="0402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582031B"/>
    <w:multiLevelType w:val="hybridMultilevel"/>
    <w:tmpl w:val="5664CB0A"/>
    <w:lvl w:ilvl="0" w:tplc="0402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6653458F"/>
    <w:multiLevelType w:val="hybridMultilevel"/>
    <w:tmpl w:val="91F2794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76B65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2"/>
  </w:num>
  <w:num w:numId="8">
    <w:abstractNumId w:val="25"/>
  </w:num>
  <w:num w:numId="9">
    <w:abstractNumId w:val="11"/>
  </w:num>
  <w:num w:numId="10">
    <w:abstractNumId w:val="4"/>
    <w:lvlOverride w:ilvl="0">
      <w:startOverride w:val="1"/>
    </w:lvlOverride>
  </w:num>
  <w:num w:numId="11">
    <w:abstractNumId w:val="23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24"/>
  </w:num>
  <w:num w:numId="16">
    <w:abstractNumId w:val="15"/>
  </w:num>
  <w:num w:numId="17">
    <w:abstractNumId w:val="16"/>
  </w:num>
  <w:num w:numId="18">
    <w:abstractNumId w:val="5"/>
  </w:num>
  <w:num w:numId="19">
    <w:abstractNumId w:val="17"/>
  </w:num>
  <w:num w:numId="20">
    <w:abstractNumId w:val="21"/>
  </w:num>
  <w:num w:numId="21">
    <w:abstractNumId w:val="1"/>
  </w:num>
  <w:num w:numId="22">
    <w:abstractNumId w:val="10"/>
  </w:num>
  <w:num w:numId="23">
    <w:abstractNumId w:val="20"/>
  </w:num>
  <w:num w:numId="24">
    <w:abstractNumId w:val="22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0D"/>
    <w:rsid w:val="00003158"/>
    <w:rsid w:val="00005370"/>
    <w:rsid w:val="00015FBC"/>
    <w:rsid w:val="00020441"/>
    <w:rsid w:val="000355E9"/>
    <w:rsid w:val="00040604"/>
    <w:rsid w:val="00045354"/>
    <w:rsid w:val="00046494"/>
    <w:rsid w:val="00047FA6"/>
    <w:rsid w:val="000532C8"/>
    <w:rsid w:val="000903F8"/>
    <w:rsid w:val="00095662"/>
    <w:rsid w:val="000A04B5"/>
    <w:rsid w:val="000B3504"/>
    <w:rsid w:val="000B4000"/>
    <w:rsid w:val="000B7D5A"/>
    <w:rsid w:val="000C1574"/>
    <w:rsid w:val="000C16EE"/>
    <w:rsid w:val="000D1014"/>
    <w:rsid w:val="000D4810"/>
    <w:rsid w:val="000E6442"/>
    <w:rsid w:val="000F59D0"/>
    <w:rsid w:val="000F6992"/>
    <w:rsid w:val="00103F72"/>
    <w:rsid w:val="001150BC"/>
    <w:rsid w:val="00151C50"/>
    <w:rsid w:val="001779B5"/>
    <w:rsid w:val="00192217"/>
    <w:rsid w:val="00196509"/>
    <w:rsid w:val="00197580"/>
    <w:rsid w:val="001A376C"/>
    <w:rsid w:val="001A506E"/>
    <w:rsid w:val="001B7E99"/>
    <w:rsid w:val="001C2D93"/>
    <w:rsid w:val="001C6898"/>
    <w:rsid w:val="001D0FD5"/>
    <w:rsid w:val="001D2EE3"/>
    <w:rsid w:val="001F280D"/>
    <w:rsid w:val="001F4208"/>
    <w:rsid w:val="00203522"/>
    <w:rsid w:val="002131C4"/>
    <w:rsid w:val="002159B0"/>
    <w:rsid w:val="00216404"/>
    <w:rsid w:val="002256DB"/>
    <w:rsid w:val="002359A0"/>
    <w:rsid w:val="002364BD"/>
    <w:rsid w:val="00241D40"/>
    <w:rsid w:val="00242962"/>
    <w:rsid w:val="002615F5"/>
    <w:rsid w:val="00270B69"/>
    <w:rsid w:val="002751F6"/>
    <w:rsid w:val="00286FF1"/>
    <w:rsid w:val="002968FE"/>
    <w:rsid w:val="002B3092"/>
    <w:rsid w:val="002B330B"/>
    <w:rsid w:val="002D3652"/>
    <w:rsid w:val="002F6F45"/>
    <w:rsid w:val="003115DE"/>
    <w:rsid w:val="00311BD6"/>
    <w:rsid w:val="00324850"/>
    <w:rsid w:val="00326CBF"/>
    <w:rsid w:val="0034277B"/>
    <w:rsid w:val="00345C3F"/>
    <w:rsid w:val="00367CC8"/>
    <w:rsid w:val="00377F28"/>
    <w:rsid w:val="00382F34"/>
    <w:rsid w:val="00387640"/>
    <w:rsid w:val="00390B82"/>
    <w:rsid w:val="0039321A"/>
    <w:rsid w:val="003A2BEA"/>
    <w:rsid w:val="003B2D98"/>
    <w:rsid w:val="003E2F8F"/>
    <w:rsid w:val="0040554D"/>
    <w:rsid w:val="00420577"/>
    <w:rsid w:val="00446422"/>
    <w:rsid w:val="0044658A"/>
    <w:rsid w:val="0045412F"/>
    <w:rsid w:val="00470643"/>
    <w:rsid w:val="004754CF"/>
    <w:rsid w:val="0047772D"/>
    <w:rsid w:val="00482A17"/>
    <w:rsid w:val="0048445C"/>
    <w:rsid w:val="004855B2"/>
    <w:rsid w:val="00487956"/>
    <w:rsid w:val="004A06DA"/>
    <w:rsid w:val="004B1D8F"/>
    <w:rsid w:val="004C0BD3"/>
    <w:rsid w:val="004C52FB"/>
    <w:rsid w:val="004C5801"/>
    <w:rsid w:val="004C5EB2"/>
    <w:rsid w:val="004C6E9F"/>
    <w:rsid w:val="004E1F58"/>
    <w:rsid w:val="004E468C"/>
    <w:rsid w:val="004E5890"/>
    <w:rsid w:val="004F4F46"/>
    <w:rsid w:val="005006A1"/>
    <w:rsid w:val="00506E17"/>
    <w:rsid w:val="005079C3"/>
    <w:rsid w:val="005167A8"/>
    <w:rsid w:val="0052649E"/>
    <w:rsid w:val="00534038"/>
    <w:rsid w:val="005625D6"/>
    <w:rsid w:val="00562EEB"/>
    <w:rsid w:val="00564EB6"/>
    <w:rsid w:val="00575113"/>
    <w:rsid w:val="005819DA"/>
    <w:rsid w:val="00583E5F"/>
    <w:rsid w:val="005969D3"/>
    <w:rsid w:val="005A139F"/>
    <w:rsid w:val="005B0230"/>
    <w:rsid w:val="005B3C1A"/>
    <w:rsid w:val="005C07D1"/>
    <w:rsid w:val="005C6ED6"/>
    <w:rsid w:val="005D1A4B"/>
    <w:rsid w:val="005D5392"/>
    <w:rsid w:val="005E11A3"/>
    <w:rsid w:val="005E1E89"/>
    <w:rsid w:val="005E5FF4"/>
    <w:rsid w:val="005F6FCE"/>
    <w:rsid w:val="006056F6"/>
    <w:rsid w:val="00606A4F"/>
    <w:rsid w:val="00611DEB"/>
    <w:rsid w:val="006175B6"/>
    <w:rsid w:val="00637033"/>
    <w:rsid w:val="00637BBC"/>
    <w:rsid w:val="00667828"/>
    <w:rsid w:val="00672EF6"/>
    <w:rsid w:val="00674C02"/>
    <w:rsid w:val="006856EB"/>
    <w:rsid w:val="00691B30"/>
    <w:rsid w:val="006A3464"/>
    <w:rsid w:val="006B1B94"/>
    <w:rsid w:val="006B2665"/>
    <w:rsid w:val="006B3F22"/>
    <w:rsid w:val="006D35E7"/>
    <w:rsid w:val="006E5C4C"/>
    <w:rsid w:val="006E7491"/>
    <w:rsid w:val="00704D6C"/>
    <w:rsid w:val="00705D53"/>
    <w:rsid w:val="007226E4"/>
    <w:rsid w:val="00723B1E"/>
    <w:rsid w:val="007358C1"/>
    <w:rsid w:val="0077427D"/>
    <w:rsid w:val="007809D4"/>
    <w:rsid w:val="007B6275"/>
    <w:rsid w:val="007B7F12"/>
    <w:rsid w:val="007D507B"/>
    <w:rsid w:val="007D6923"/>
    <w:rsid w:val="007E0266"/>
    <w:rsid w:val="007E0FEC"/>
    <w:rsid w:val="007E6735"/>
    <w:rsid w:val="00801E5E"/>
    <w:rsid w:val="008024CF"/>
    <w:rsid w:val="008024FE"/>
    <w:rsid w:val="008059D0"/>
    <w:rsid w:val="00814992"/>
    <w:rsid w:val="0081693C"/>
    <w:rsid w:val="00831296"/>
    <w:rsid w:val="008368F4"/>
    <w:rsid w:val="00851CF3"/>
    <w:rsid w:val="00853055"/>
    <w:rsid w:val="008642DE"/>
    <w:rsid w:val="008733D9"/>
    <w:rsid w:val="00874E36"/>
    <w:rsid w:val="0089557E"/>
    <w:rsid w:val="008A0F30"/>
    <w:rsid w:val="008B1EF6"/>
    <w:rsid w:val="008C17F0"/>
    <w:rsid w:val="008C7FD7"/>
    <w:rsid w:val="008E1AA6"/>
    <w:rsid w:val="008E1FF3"/>
    <w:rsid w:val="008F02E8"/>
    <w:rsid w:val="00913247"/>
    <w:rsid w:val="009155F5"/>
    <w:rsid w:val="00930F70"/>
    <w:rsid w:val="00941AA0"/>
    <w:rsid w:val="009647B5"/>
    <w:rsid w:val="0096538F"/>
    <w:rsid w:val="00985FE9"/>
    <w:rsid w:val="00987EBC"/>
    <w:rsid w:val="00995587"/>
    <w:rsid w:val="009B0628"/>
    <w:rsid w:val="009C41A2"/>
    <w:rsid w:val="009C6B7D"/>
    <w:rsid w:val="009C7A73"/>
    <w:rsid w:val="009D46BA"/>
    <w:rsid w:val="009D4B1B"/>
    <w:rsid w:val="009E577A"/>
    <w:rsid w:val="009E6BC2"/>
    <w:rsid w:val="00A124A7"/>
    <w:rsid w:val="00A16E63"/>
    <w:rsid w:val="00A259D8"/>
    <w:rsid w:val="00A330B5"/>
    <w:rsid w:val="00A516FB"/>
    <w:rsid w:val="00A5456F"/>
    <w:rsid w:val="00AA1F68"/>
    <w:rsid w:val="00AA3F80"/>
    <w:rsid w:val="00AA4090"/>
    <w:rsid w:val="00AB0D5B"/>
    <w:rsid w:val="00AC159C"/>
    <w:rsid w:val="00AD472D"/>
    <w:rsid w:val="00AE7327"/>
    <w:rsid w:val="00B01994"/>
    <w:rsid w:val="00B02FBD"/>
    <w:rsid w:val="00B041DE"/>
    <w:rsid w:val="00B1756C"/>
    <w:rsid w:val="00B32439"/>
    <w:rsid w:val="00B634D7"/>
    <w:rsid w:val="00B7307A"/>
    <w:rsid w:val="00B8551E"/>
    <w:rsid w:val="00B937A1"/>
    <w:rsid w:val="00B93D10"/>
    <w:rsid w:val="00BB0E27"/>
    <w:rsid w:val="00BB6FC4"/>
    <w:rsid w:val="00BC5736"/>
    <w:rsid w:val="00BD3A4E"/>
    <w:rsid w:val="00BD445E"/>
    <w:rsid w:val="00BF4DB0"/>
    <w:rsid w:val="00C16481"/>
    <w:rsid w:val="00C2009F"/>
    <w:rsid w:val="00C24FB9"/>
    <w:rsid w:val="00C46152"/>
    <w:rsid w:val="00C60D59"/>
    <w:rsid w:val="00C70833"/>
    <w:rsid w:val="00C70CF8"/>
    <w:rsid w:val="00C75E90"/>
    <w:rsid w:val="00C90D04"/>
    <w:rsid w:val="00C91738"/>
    <w:rsid w:val="00C91DA0"/>
    <w:rsid w:val="00C93793"/>
    <w:rsid w:val="00CA170C"/>
    <w:rsid w:val="00CA19F0"/>
    <w:rsid w:val="00CA2E53"/>
    <w:rsid w:val="00CA7B63"/>
    <w:rsid w:val="00CB2247"/>
    <w:rsid w:val="00CC7ED5"/>
    <w:rsid w:val="00CE60A7"/>
    <w:rsid w:val="00CF4AF7"/>
    <w:rsid w:val="00D11C27"/>
    <w:rsid w:val="00D24664"/>
    <w:rsid w:val="00D478C7"/>
    <w:rsid w:val="00D50297"/>
    <w:rsid w:val="00D525A9"/>
    <w:rsid w:val="00D54963"/>
    <w:rsid w:val="00D64136"/>
    <w:rsid w:val="00D706EA"/>
    <w:rsid w:val="00D71441"/>
    <w:rsid w:val="00DB21FF"/>
    <w:rsid w:val="00DD4676"/>
    <w:rsid w:val="00DE657C"/>
    <w:rsid w:val="00DF1746"/>
    <w:rsid w:val="00DF378D"/>
    <w:rsid w:val="00E022B9"/>
    <w:rsid w:val="00E02FB8"/>
    <w:rsid w:val="00E041EC"/>
    <w:rsid w:val="00E102D3"/>
    <w:rsid w:val="00E23B1C"/>
    <w:rsid w:val="00E406AC"/>
    <w:rsid w:val="00E447C8"/>
    <w:rsid w:val="00E463F8"/>
    <w:rsid w:val="00E51444"/>
    <w:rsid w:val="00E52553"/>
    <w:rsid w:val="00EA4B95"/>
    <w:rsid w:val="00EB1E09"/>
    <w:rsid w:val="00EC11BC"/>
    <w:rsid w:val="00EC7545"/>
    <w:rsid w:val="00EC75FB"/>
    <w:rsid w:val="00ED6D28"/>
    <w:rsid w:val="00F022C4"/>
    <w:rsid w:val="00F2595A"/>
    <w:rsid w:val="00F55AD2"/>
    <w:rsid w:val="00F6560A"/>
    <w:rsid w:val="00F76607"/>
    <w:rsid w:val="00F80DDC"/>
    <w:rsid w:val="00F81FB2"/>
    <w:rsid w:val="00F90DAC"/>
    <w:rsid w:val="00F9392D"/>
    <w:rsid w:val="00F94DF8"/>
    <w:rsid w:val="00FA55DF"/>
    <w:rsid w:val="00FA5CDA"/>
    <w:rsid w:val="00FA7AEB"/>
    <w:rsid w:val="00FB0051"/>
    <w:rsid w:val="00FB1D6B"/>
    <w:rsid w:val="00FC1DB6"/>
    <w:rsid w:val="00FE360E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 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/>
      <w:sz w:val="16"/>
      <w:szCs w:val="16"/>
      <w:lang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BD3A4E"/>
    <w:pPr>
      <w:ind w:left="720"/>
    </w:pPr>
  </w:style>
  <w:style w:type="character" w:customStyle="1" w:styleId="30">
    <w:name w:val="Основен текст 3 Знак"/>
    <w:link w:val="3"/>
    <w:rsid w:val="00704D6C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semiHidden/>
    <w:rsid w:val="009C41A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21">
    <w:name w:val="Основен текст 2 Знак"/>
    <w:link w:val="20"/>
    <w:rsid w:val="00270B69"/>
    <w:rPr>
      <w:sz w:val="22"/>
      <w:szCs w:val="24"/>
      <w:lang w:val="bg-BG"/>
    </w:rPr>
  </w:style>
  <w:style w:type="paragraph" w:customStyle="1" w:styleId="CharCharChar1">
    <w:name w:val=" Char Char Char1"/>
    <w:basedOn w:val="a"/>
    <w:rsid w:val="0044642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8">
    <w:name w:val=" Знак Знак8"/>
    <w:rsid w:val="009B0628"/>
    <w:rPr>
      <w:rFonts w:ascii="HebarU" w:hAnsi="HebarU"/>
      <w:sz w:val="24"/>
      <w:szCs w:val="24"/>
      <w:lang w:val="bg-BG" w:eastAsia="en-US" w:bidi="ar-SA"/>
    </w:rPr>
  </w:style>
  <w:style w:type="character" w:customStyle="1" w:styleId="7">
    <w:name w:val=" Знак Знак7"/>
    <w:rsid w:val="009B0628"/>
    <w:rPr>
      <w:sz w:val="22"/>
      <w:szCs w:val="24"/>
      <w:lang w:val="bg-BG" w:eastAsia="en-US" w:bidi="ar-SA"/>
    </w:rPr>
  </w:style>
  <w:style w:type="paragraph" w:styleId="ad">
    <w:name w:val="List Paragraph"/>
    <w:basedOn w:val="a"/>
    <w:uiPriority w:val="99"/>
    <w:qFormat/>
    <w:rsid w:val="001A506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  <w:lang w:val="en-GB"/>
    </w:rPr>
  </w:style>
  <w:style w:type="paragraph" w:styleId="ae">
    <w:name w:val="Normal (Web)"/>
    <w:basedOn w:val="a"/>
    <w:unhideWhenUsed/>
    <w:rsid w:val="0048445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1CFD-C5E9-4F0F-86FB-AFE638F3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v_koparanska</cp:lastModifiedBy>
  <cp:revision>2</cp:revision>
  <cp:lastPrinted>2019-10-10T08:56:00Z</cp:lastPrinted>
  <dcterms:created xsi:type="dcterms:W3CDTF">2019-10-17T10:52:00Z</dcterms:created>
  <dcterms:modified xsi:type="dcterms:W3CDTF">2019-10-17T10:52:00Z</dcterms:modified>
</cp:coreProperties>
</file>