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ПРОЕКТ НА НОВ ПРАВИЛНИК ЗА УСТРОЙСТВОТО И ДЕЙНОСТТА НА </w:t>
      </w:r>
    </w:p>
    <w:p>
      <w:pPr>
        <w:pStyle w:val="Normal"/>
        <w:jc w:val="center"/>
        <w:rPr>
          <w:b/>
          <w:b/>
          <w:iCs/>
          <w:color w:val="000000"/>
          <w:lang w:val="en-US"/>
        </w:rPr>
      </w:pPr>
      <w:r>
        <w:rPr>
          <w:b/>
          <w:color w:val="000000"/>
          <w:lang w:val="ru-RU"/>
        </w:rPr>
        <w:t xml:space="preserve">ОП </w:t>
      </w:r>
      <w:r>
        <w:rPr>
          <w:b/>
        </w:rPr>
        <w:t>“МЛАДЕЖКИ ЦЕНТЪР ПЛОВДИВ”</w:t>
      </w:r>
    </w:p>
    <w:p>
      <w:pPr>
        <w:pStyle w:val="Normal"/>
        <w:jc w:val="center"/>
        <w:rPr>
          <w:b/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</w:r>
    </w:p>
    <w:p>
      <w:pPr>
        <w:pStyle w:val="Default"/>
        <w:jc w:val="both"/>
        <w:rPr>
          <w:b/>
          <w:b/>
          <w:bCs/>
          <w:i/>
          <w:i/>
          <w:u w:val="single"/>
          <w:lang w:val="bg-BG"/>
        </w:rPr>
      </w:pPr>
      <w:r>
        <w:rPr>
          <w:b/>
          <w:bCs/>
          <w:i/>
        </w:rPr>
        <w:t xml:space="preserve">                                                                                                                                      </w:t>
      </w:r>
      <w:r>
        <w:rPr>
          <w:b/>
          <w:bCs/>
          <w:i/>
          <w:u w:val="single"/>
        </w:rPr>
        <w:t xml:space="preserve"> </w:t>
      </w:r>
    </w:p>
    <w:p>
      <w:pPr>
        <w:pStyle w:val="Default"/>
        <w:jc w:val="both"/>
        <w:rPr>
          <w:b/>
          <w:b/>
          <w:bCs/>
          <w:lang w:val="bg-BG"/>
        </w:rPr>
      </w:pPr>
      <w:r>
        <w:rPr>
          <w:b/>
          <w:bCs/>
        </w:rPr>
        <w:t>В</w:t>
      </w:r>
      <w:r>
        <w:rPr>
          <w:b/>
          <w:bCs/>
          <w:lang w:val="bg-BG"/>
        </w:rPr>
        <w:t>носител</w:t>
      </w:r>
      <w:r>
        <w:rPr>
          <w:b/>
          <w:bCs/>
        </w:rPr>
        <w:t xml:space="preserve">: </w:t>
      </w:r>
      <w:r>
        <w:rPr>
          <w:b/>
          <w:bCs/>
          <w:lang w:val="bg-BG"/>
        </w:rPr>
        <w:t>Илия Кирчев</w:t>
      </w:r>
      <w:r>
        <w:rPr>
          <w:b/>
          <w:bCs/>
        </w:rPr>
        <w:t xml:space="preserve"> – </w:t>
      </w:r>
      <w:r>
        <w:rPr>
          <w:b/>
          <w:bCs/>
          <w:lang w:val="bg-BG"/>
        </w:rPr>
        <w:t xml:space="preserve">зам.-кмет </w:t>
      </w:r>
      <w:r>
        <w:rPr>
          <w:b/>
          <w:bCs/>
          <w:color w:val="auto"/>
          <w:sz w:val="22"/>
          <w:szCs w:val="22"/>
        </w:rPr>
        <w:t>ФЗСДЕ</w:t>
      </w:r>
      <w:r>
        <w:rPr>
          <w:b/>
          <w:bCs/>
          <w:lang w:val="bg-BG"/>
        </w:rPr>
        <w:t xml:space="preserve"> на община Пловдив</w:t>
      </w:r>
    </w:p>
    <w:p>
      <w:pPr>
        <w:pStyle w:val="Default"/>
        <w:jc w:val="both"/>
        <w:rPr>
          <w:i/>
          <w:i/>
          <w:u w:val="single"/>
          <w:lang w:val="bg-BG"/>
        </w:rPr>
      </w:pPr>
      <w:r>
        <w:rPr>
          <w:i/>
          <w:u w:val="single"/>
          <w:lang w:val="bg-BG"/>
        </w:rPr>
      </w:r>
    </w:p>
    <w:p>
      <w:pPr>
        <w:pStyle w:val="Default"/>
        <w:jc w:val="both"/>
        <w:rPr/>
      </w:pPr>
      <w:r>
        <w:rPr/>
        <w:t xml:space="preserve">Съгласно чл. 26, ал. 4 от Закона за нормативните актове, в законоустановения срок от 30 дни, община Пловдив чрез настоящото публикуване за обществена консултация, предоставя възможност на заинтересованите лица да направят своите предложения и становища по проекта на </w:t>
      </w:r>
      <w:r>
        <w:rPr>
          <w:lang w:val="ru-RU"/>
        </w:rPr>
        <w:t>Правилника</w:t>
      </w:r>
      <w:r>
        <w:rPr/>
        <w:t xml:space="preserve"> на е-mаil адрес: t_yurieva@plovdiv.bg или в деловодството на община Пловдив, пл. „Стефан Стамболов” № 1. 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>
          <w:b/>
          <w:b/>
          <w:lang w:val="bg-BG"/>
        </w:rPr>
      </w:pPr>
      <w:r>
        <w:rPr>
          <w:b/>
        </w:rPr>
        <w:t>МОТИВИ</w:t>
      </w:r>
      <w:r>
        <w:rPr>
          <w:b/>
          <w:lang w:val="bg-BG"/>
        </w:rPr>
        <w:t>:</w:t>
      </w:r>
    </w:p>
    <w:p>
      <w:pPr>
        <w:pStyle w:val="Default"/>
        <w:numPr>
          <w:ilvl w:val="0"/>
          <w:numId w:val="1"/>
        </w:numPr>
        <w:tabs>
          <w:tab w:val="left" w:pos="284" w:leader="none"/>
        </w:tabs>
        <w:ind w:left="0" w:hanging="0"/>
        <w:jc w:val="both"/>
        <w:rPr>
          <w:b/>
          <w:b/>
        </w:rPr>
      </w:pPr>
      <w:r>
        <w:rPr>
          <w:b/>
          <w:lang w:val="bg-BG"/>
        </w:rPr>
        <w:t xml:space="preserve">Обосновка за конкретната необходимост от приемане на </w:t>
      </w:r>
      <w:r>
        <w:rPr>
          <w:b/>
          <w:iCs/>
        </w:rPr>
        <w:t xml:space="preserve">Правилник </w:t>
      </w:r>
      <w:r>
        <w:rPr>
          <w:b/>
          <w:iCs/>
          <w:lang w:val="bg-BG"/>
        </w:rPr>
        <w:t xml:space="preserve">за устройството и дейността на </w:t>
      </w:r>
      <w:r>
        <w:rPr>
          <w:b/>
          <w:lang w:val="ru-RU"/>
        </w:rPr>
        <w:t xml:space="preserve">ОП </w:t>
      </w:r>
      <w:r>
        <w:rPr>
          <w:b/>
        </w:rPr>
        <w:t>“</w:t>
      </w:r>
      <w:r>
        <w:rPr>
          <w:b/>
          <w:lang w:val="bg-BG"/>
        </w:rPr>
        <w:t>Младежки център Пловдив</w:t>
      </w:r>
      <w:r>
        <w:rPr>
          <w:b/>
        </w:rPr>
        <w:t>”</w:t>
      </w:r>
      <w:r>
        <w:rPr>
          <w:b/>
          <w:iCs/>
          <w:lang w:val="bg-BG"/>
        </w:rPr>
        <w:t>.</w:t>
      </w:r>
    </w:p>
    <w:p>
      <w:pPr>
        <w:pStyle w:val="Default"/>
        <w:tabs>
          <w:tab w:val="left" w:pos="284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Default"/>
        <w:tabs>
          <w:tab w:val="left" w:pos="284" w:leader="none"/>
        </w:tabs>
        <w:jc w:val="both"/>
        <w:rPr>
          <w:b/>
          <w:b/>
          <w:lang w:val="bg-BG"/>
        </w:rPr>
      </w:pPr>
      <w:r>
        <w:rPr>
          <w:b/>
          <w:lang w:val="bg-BG"/>
        </w:rPr>
        <w:t xml:space="preserve">1. Причини, които налагат приемането на </w:t>
      </w:r>
      <w:r>
        <w:rPr>
          <w:b/>
          <w:iCs/>
        </w:rPr>
        <w:t xml:space="preserve">Правилник </w:t>
      </w:r>
      <w:r>
        <w:rPr>
          <w:b/>
          <w:iCs/>
          <w:lang w:val="bg-BG"/>
        </w:rPr>
        <w:t xml:space="preserve">за устройството и дейността на </w:t>
      </w:r>
      <w:r>
        <w:rPr>
          <w:b/>
          <w:lang w:val="ru-RU"/>
        </w:rPr>
        <w:t xml:space="preserve">ОП </w:t>
      </w:r>
      <w:r>
        <w:rPr>
          <w:b/>
        </w:rPr>
        <w:t>“</w:t>
      </w:r>
      <w:r>
        <w:rPr>
          <w:b/>
          <w:lang w:val="bg-BG"/>
        </w:rPr>
        <w:t>Младежки център Пловдив</w:t>
      </w:r>
      <w:r>
        <w:rPr>
          <w:b/>
        </w:rPr>
        <w:t>”</w:t>
      </w:r>
      <w:r>
        <w:rPr>
          <w:b/>
          <w:iCs/>
          <w:lang w:val="bg-BG"/>
        </w:rPr>
        <w:t>.</w:t>
      </w:r>
    </w:p>
    <w:p>
      <w:pPr>
        <w:pStyle w:val="Default"/>
        <w:tabs>
          <w:tab w:val="left" w:pos="284" w:leader="none"/>
        </w:tabs>
        <w:jc w:val="both"/>
        <w:rPr/>
      </w:pPr>
      <w:r>
        <w:rPr>
          <w:b/>
          <w:lang w:val="bg-BG"/>
        </w:rPr>
        <w:tab/>
        <w:tab/>
      </w:r>
    </w:p>
    <w:p>
      <w:pPr>
        <w:pStyle w:val="Normal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 Решение № 456, взето с Протокол № 20 от 29.11.2018г., на Общински съвет – Пловдив, влязло в сила от 1.01.2019г., е приета нова Наредба за създаване, управление и контрол върху дейността на общинските предприятия на община Пловдив по гл. VI от ЗОС. Предвид обстоятелството, че Правилникът за устройството и дейността на ОП „Младежки център Пловдив“ съдържа разпоредби, основани на нормите, съдържащи се в цитираната Наредба, е належащо текстовете на същия да бъдат приведени в съответствие с текстовете на Наредбата за създаване, управление и контрол върху дейността на общинските предприятия на община Пловдив по гл. VI от ЗОС.</w:t>
      </w:r>
    </w:p>
    <w:p>
      <w:pPr>
        <w:pStyle w:val="Normal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 друга страна, в община Пловдив е постъпил доклад с вх. №20 ОПР-815/7/20.07.2020г. от директора на ОП „Младежки център Пловдив“ г-жа Димитрия Тодорова – Андонова, която в изпълнение на разпоредбите на § 2 от Допълнителните разпоредби  на Наредбата за създаване, управление и контрол върху дейността на общинските предприятия на община Пловдив по гл. VI от ЗОС е представила обосновано предложение за инициирани от нейната страна промени в Правилника за устройството и дейността на Предприятието. Предложените изменения са свързани със стопанисваните от ОП „Младежки център Пловдив“ дълготрайни материални активи и се изразяват в актуализирането на Приложение № 2 - „Опис на предоставеното за управление имущество към 30.06.2020г.“, неразделна част от Правилника. </w:t>
      </w:r>
    </w:p>
    <w:p>
      <w:pPr>
        <w:pStyle w:val="Normal"/>
        <w:spacing w:before="0" w:after="24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актуализирания опис на имуществото по групи сметки към 30.06.2020г. са настъпили следните промени:</w:t>
      </w:r>
    </w:p>
    <w:p>
      <w:pPr>
        <w:pStyle w:val="Normal"/>
        <w:spacing w:before="0" w:after="240"/>
        <w:ind w:firstLine="567"/>
        <w:jc w:val="both"/>
        <w:rPr/>
      </w:pPr>
      <w:r>
        <w:rPr>
          <w:rFonts w:eastAsia="Calibri"/>
          <w:lang w:eastAsia="en-US"/>
        </w:rPr>
        <w:tab/>
        <w:t xml:space="preserve"> </w:t>
      </w:r>
      <w:r>
        <w:rPr>
          <w:i/>
        </w:rPr>
        <w:t>По сметка 2101 Програмни продукти</w:t>
      </w:r>
      <w:r>
        <w:rPr/>
        <w:t xml:space="preserve"> закупен програмен продукт – ПП Конто модул „Хотел“ на стойност 1200 лв.;</w:t>
      </w:r>
    </w:p>
    <w:p>
      <w:pPr>
        <w:pStyle w:val="Normal"/>
        <w:spacing w:lineRule="auto" w:line="276" w:before="0" w:after="20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 оглед на всичко изложено дотук, целесъобразно и законосъобразно се явява приемането на нов Правилник за устройството и дейността на ОП „Младежки център Пловдив“.</w:t>
      </w:r>
    </w:p>
    <w:p>
      <w:pPr>
        <w:pStyle w:val="Normal"/>
        <w:spacing w:lineRule="auto" w:line="276" w:before="0" w:after="200"/>
        <w:ind w:firstLine="708"/>
        <w:jc w:val="both"/>
        <w:rPr>
          <w:rStyle w:val="Ala"/>
          <w:color w:val="000000"/>
        </w:rPr>
      </w:pPr>
      <w:r>
        <w:rPr>
          <w:color w:val="000000"/>
        </w:rPr>
        <w:t xml:space="preserve">При изработването на проекта на </w:t>
      </w:r>
      <w:r>
        <w:rPr>
          <w:iCs/>
          <w:color w:val="000000"/>
        </w:rPr>
        <w:t xml:space="preserve">Правилник за устройството и дейността на </w:t>
      </w:r>
      <w:r>
        <w:rPr>
          <w:color w:val="000000"/>
          <w:lang w:val="ru-RU"/>
        </w:rPr>
        <w:t xml:space="preserve">ОП </w:t>
      </w:r>
      <w:r>
        <w:rPr/>
        <w:t>“</w:t>
      </w:r>
      <w:r>
        <w:rPr>
          <w:rFonts w:eastAsia="Calibri"/>
          <w:lang w:eastAsia="en-US"/>
        </w:rPr>
        <w:t>Младежки център Пловдив</w:t>
      </w:r>
      <w:r>
        <w:rPr/>
        <w:t>”</w:t>
      </w:r>
      <w:r>
        <w:rPr>
          <w:b/>
        </w:rPr>
        <w:t xml:space="preserve"> </w:t>
      </w:r>
      <w:r>
        <w:rPr>
          <w:color w:val="000000"/>
        </w:rPr>
        <w:t xml:space="preserve">са спазени принципите на </w:t>
      </w:r>
      <w:r>
        <w:rPr>
          <w:rStyle w:val="Ala"/>
          <w:color w:val="000000"/>
        </w:rPr>
        <w:t>необходимост, обоснованост, предвидимост, откритост, съгласуваност, субсидиарност, пропорционалност и стабилност.</w:t>
      </w:r>
    </w:p>
    <w:p>
      <w:pPr>
        <w:pStyle w:val="Normal"/>
        <w:spacing w:lineRule="auto" w:line="276" w:before="0" w:after="200"/>
        <w:ind w:right="-142"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Принцип на необходимост</w:t>
      </w:r>
      <w:r>
        <w:rPr>
          <w:rFonts w:eastAsia="Calibri"/>
          <w:lang w:eastAsia="en-US"/>
        </w:rPr>
        <w:t xml:space="preserve"> – необходимо е да бъде приет нов Правилник за устройство и дейността на ОП „Младежки център Пловдив“ с оглед привеждането на текстовете на Правилника в съответствие с текстовете на Наредбата за създаване, управление и контрол върху дейността на общинските предприятия на община Пловдив по гл. VI от ЗОС, както и приемането на нови Приложения №1 и №2 към Правилника.</w:t>
      </w:r>
    </w:p>
    <w:p>
      <w:pPr>
        <w:pStyle w:val="Normal"/>
        <w:spacing w:lineRule="auto" w:line="276" w:before="0" w:after="200"/>
        <w:ind w:right="-142"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color w:val="000000"/>
          <w:shd w:fill="FEFEFE" w:val="clear"/>
          <w:lang w:eastAsia="en-US"/>
        </w:rPr>
        <w:t>Принципът на обоснованост</w:t>
      </w:r>
      <w:r>
        <w:rPr>
          <w:rFonts w:eastAsia="Calibri"/>
          <w:color w:val="000000"/>
          <w:shd w:fill="FEFEFE" w:val="clear"/>
          <w:lang w:eastAsia="en-US"/>
        </w:rPr>
        <w:t xml:space="preserve"> – приемането на </w:t>
      </w:r>
      <w:r>
        <w:rPr>
          <w:rFonts w:eastAsia="Calibri"/>
          <w:lang w:eastAsia="en-US"/>
        </w:rPr>
        <w:t xml:space="preserve">нов Правилник за устройството и дейността на ОП „Младежки център Пловдив“ се обосновава с разпоредбите на </w:t>
      </w:r>
      <w:r>
        <w:rPr/>
        <w:t xml:space="preserve">чл. 21, ал.1, т.23 и ал.2 от ЗМСМА, във връзка с чл.52, ал.3 и ал.4 от Закона за общинската собственост, във връзка с чл.3, ал.8, ал.9 и ал.11 и §2 от Допълнителните разпоредби от Наредбата за създаване, управление и контрол върху дейността на общинските предприятия по гл.VІ от ЗОС, </w:t>
      </w:r>
      <w:r>
        <w:rPr>
          <w:rFonts w:eastAsia="Calibri"/>
          <w:lang w:eastAsia="en-US"/>
        </w:rPr>
        <w:t xml:space="preserve">които предвиждат промени в описа на предоставеното за управление имущество при наличие на обективни обстоятелства, какъвто е настоящият случай и </w:t>
      </w:r>
      <w:r>
        <w:rPr/>
        <w:t>при спазване изискванията на чл.11, ал.3, чл.15, ал.1, чл.18а, чл.19, ал.1, чл.20, чл.26 и чл.28 от ЗНА и във връзка с чл. 75, чл. 76, чл. 77 и чл. 79 от АПК</w:t>
      </w:r>
      <w:r>
        <w:rPr>
          <w:rFonts w:eastAsia="Calibri"/>
          <w:lang w:eastAsia="en-US"/>
        </w:rPr>
        <w:t xml:space="preserve">. </w:t>
      </w:r>
    </w:p>
    <w:p>
      <w:pPr>
        <w:pStyle w:val="Normal"/>
        <w:spacing w:lineRule="auto" w:line="276" w:before="0" w:after="200"/>
        <w:ind w:firstLine="709"/>
        <w:jc w:val="both"/>
        <w:rPr>
          <w:rFonts w:eastAsia="Calibri"/>
          <w:color w:val="000000"/>
          <w:highlight w:val="white"/>
          <w:lang w:eastAsia="en-US"/>
        </w:rPr>
      </w:pPr>
      <w:r>
        <w:rPr>
          <w:rFonts w:eastAsia="Calibri"/>
          <w:b/>
          <w:color w:val="000000"/>
          <w:shd w:fill="FEFEFE" w:val="clear"/>
          <w:lang w:eastAsia="en-US"/>
        </w:rPr>
        <w:t>Принципите на предвидимост и откритост</w:t>
      </w:r>
      <w:r>
        <w:rPr>
          <w:rFonts w:eastAsia="Calibri"/>
          <w:color w:val="000000"/>
          <w:shd w:fill="FEFEFE" w:val="clear"/>
          <w:lang w:eastAsia="en-US"/>
        </w:rPr>
        <w:t xml:space="preserve"> са спазени – проектът с мотивите и предварителната оценка са публикувани на официалния сайт на община Пловдив за становища и предложения от заинтересованите лица.</w:t>
      </w:r>
    </w:p>
    <w:p>
      <w:pPr>
        <w:pStyle w:val="Normal"/>
        <w:spacing w:lineRule="auto" w:line="276" w:before="0" w:after="200"/>
        <w:ind w:firstLine="709"/>
        <w:jc w:val="both"/>
        <w:rPr>
          <w:rFonts w:eastAsia="Calibri"/>
          <w:color w:val="000000"/>
          <w:highlight w:val="white"/>
          <w:lang w:eastAsia="en-US"/>
        </w:rPr>
      </w:pPr>
      <w:r>
        <w:rPr>
          <w:rFonts w:eastAsia="Calibri"/>
          <w:b/>
          <w:color w:val="000000"/>
          <w:shd w:fill="FEFEFE" w:val="clear"/>
          <w:lang w:eastAsia="en-US"/>
        </w:rPr>
        <w:t>Принципът на съгласуваност</w:t>
      </w:r>
      <w:r>
        <w:rPr>
          <w:rFonts w:eastAsia="Calibri"/>
          <w:color w:val="000000"/>
          <w:shd w:fill="FEFEFE" w:val="clear"/>
          <w:lang w:eastAsia="en-US"/>
        </w:rPr>
        <w:t xml:space="preserve"> – чрез сайта на община Пловдив проектът с мотивите и предварителната оценка на въздействието публично са предоставени на заинтересованите лица, като в </w:t>
      </w:r>
      <w:r>
        <w:rPr>
          <w:rFonts w:eastAsia="Calibri"/>
          <w:shd w:fill="FEFEFE" w:val="clear"/>
          <w:lang w:eastAsia="en-US"/>
        </w:rPr>
        <w:t xml:space="preserve">проекта за решение, представен пред Общински съвет </w:t>
      </w:r>
      <w:r>
        <w:rPr>
          <w:rFonts w:eastAsia="Calibri"/>
          <w:b/>
          <w:shd w:fill="FEFEFE" w:val="clear"/>
          <w:lang w:eastAsia="en-US"/>
        </w:rPr>
        <w:t>–</w:t>
      </w:r>
      <w:r>
        <w:rPr>
          <w:rFonts w:eastAsia="Calibri"/>
          <w:shd w:fill="FEFEFE" w:val="clear"/>
          <w:lang w:eastAsia="en-US"/>
        </w:rPr>
        <w:t xml:space="preserve">Пловдив, ще бъдат </w:t>
      </w:r>
      <w:r>
        <w:rPr>
          <w:rFonts w:eastAsia="Calibri"/>
          <w:color w:val="000000"/>
          <w:shd w:fill="FEFEFE" w:val="clear"/>
          <w:lang w:eastAsia="en-US"/>
        </w:rPr>
        <w:t>взети предвид направените предложения и изготвените становища.</w:t>
      </w:r>
    </w:p>
    <w:p>
      <w:pPr>
        <w:pStyle w:val="Normal"/>
        <w:spacing w:lineRule="auto" w:line="276" w:before="0" w:after="20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shd w:fill="FEFEFE" w:val="clear"/>
          <w:lang w:eastAsia="en-US"/>
        </w:rPr>
        <w:t xml:space="preserve">Принципът на </w:t>
      </w:r>
      <w:r>
        <w:rPr>
          <w:rFonts w:eastAsia="Calibri"/>
          <w:b/>
          <w:lang w:eastAsia="en-US"/>
        </w:rPr>
        <w:t xml:space="preserve">субсидиарност, пропорционалност и стабилност </w:t>
      </w:r>
      <w:r>
        <w:rPr>
          <w:rFonts w:eastAsia="Calibri"/>
          <w:lang w:eastAsia="en-US"/>
        </w:rPr>
        <w:t>– предложеното приемане на нов Правилник за устройството и дейността на ОП „Младежки център Пловдив“ е в съответствие с нормативните актове от по</w:t>
      </w:r>
      <w:r>
        <w:rPr>
          <w:rFonts w:eastAsia="Calibri"/>
          <w:b/>
          <w:lang w:eastAsia="en-US"/>
        </w:rPr>
        <w:t>-</w:t>
      </w:r>
      <w:r>
        <w:rPr>
          <w:rFonts w:eastAsia="Calibri"/>
          <w:lang w:eastAsia="en-US"/>
        </w:rPr>
        <w:t xml:space="preserve">висока степен.  </w:t>
      </w:r>
    </w:p>
    <w:p>
      <w:pPr>
        <w:pStyle w:val="Normal"/>
        <w:spacing w:lineRule="auto" w:line="276" w:before="0" w:after="20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 изработване на проекта за приемане на нов Правилник за устройството и дейността на ОП „Младежки център Пловдив“ е спазен чл.18а от Закона за нормативните актове, както и разпоредбите на глави II и III от същия. Извършена е </w:t>
      </w:r>
      <w:r>
        <w:rPr>
          <w:rFonts w:eastAsia="Calibri"/>
          <w:b/>
          <w:lang w:eastAsia="en-US"/>
        </w:rPr>
        <w:t xml:space="preserve">предварителна оценка на въздействието </w:t>
      </w:r>
      <w:r>
        <w:rPr>
          <w:rFonts w:eastAsia="Calibri"/>
          <w:lang w:eastAsia="en-US"/>
        </w:rPr>
        <w:t xml:space="preserve">на проекта </w:t>
      </w:r>
      <w:r>
        <w:rPr>
          <w:rFonts w:eastAsia="Calibri"/>
          <w:b/>
          <w:lang w:eastAsia="en-US"/>
        </w:rPr>
        <w:t xml:space="preserve">- </w:t>
      </w:r>
      <w:r>
        <w:rPr>
          <w:rFonts w:eastAsia="Calibri"/>
          <w:lang w:eastAsia="en-US"/>
        </w:rPr>
        <w:t xml:space="preserve">приемане на нов Правилник за устройството и дейността на ОП „Младежки център Пловдив“, която е прикачена към публикувания проект. </w:t>
      </w:r>
    </w:p>
    <w:p>
      <w:pPr>
        <w:pStyle w:val="Normal"/>
        <w:shd w:val="clear" w:color="auto" w:fill="FFFFFF"/>
        <w:spacing w:lineRule="auto" w:line="276" w:before="0" w:after="200"/>
        <w:ind w:firstLine="709"/>
        <w:jc w:val="both"/>
        <w:rPr>
          <w:rFonts w:eastAsia="Calibri"/>
          <w:b/>
          <w:b/>
          <w:color w:val="000000"/>
          <w:spacing w:val="-2"/>
          <w:lang w:eastAsia="en-US"/>
        </w:rPr>
      </w:pPr>
      <w:r>
        <w:rPr>
          <w:rFonts w:eastAsia="Calibri"/>
          <w:b/>
          <w:lang w:eastAsia="en-US"/>
        </w:rPr>
        <w:t>Цел на приемане на нов Правилник за устройството и дейността на ОП „</w:t>
      </w:r>
      <w:r>
        <w:rPr>
          <w:b/>
        </w:rPr>
        <w:t>Младежки център Пловдив</w:t>
      </w:r>
      <w:r>
        <w:rPr>
          <w:rFonts w:eastAsia="Calibri"/>
          <w:b/>
          <w:lang w:eastAsia="en-US"/>
        </w:rPr>
        <w:t>“.</w:t>
      </w:r>
    </w:p>
    <w:p>
      <w:pPr>
        <w:pStyle w:val="Normal"/>
        <w:spacing w:lineRule="auto" w:line="276" w:before="0" w:after="20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Целта на приемането нов Правилник за устройството и дейността на ОП „Младежки център Пловдив“ е: </w:t>
      </w:r>
      <w:r>
        <w:rPr>
          <w:rFonts w:eastAsia="Calibri"/>
          <w:b/>
          <w:lang w:eastAsia="en-US"/>
        </w:rPr>
        <w:t>1.</w:t>
      </w:r>
      <w:r>
        <w:rPr>
          <w:rFonts w:eastAsia="Calibri"/>
          <w:lang w:eastAsia="en-US"/>
        </w:rPr>
        <w:t xml:space="preserve"> да се приведат текстовете на Правилника в съответствие с текстовете на Наредбата за създаване, управление и контрол върху дейността на общинските предприятия на община Пловдив по гл. VI от ЗОС; </w:t>
      </w:r>
      <w:r>
        <w:rPr>
          <w:rFonts w:eastAsia="Calibri"/>
          <w:b/>
          <w:lang w:eastAsia="en-US"/>
        </w:rPr>
        <w:t>2.</w:t>
      </w:r>
      <w:r>
        <w:rPr>
          <w:rFonts w:eastAsia="Calibri"/>
          <w:lang w:eastAsia="en-US"/>
        </w:rPr>
        <w:t xml:space="preserve"> да се актуализират Приложение №1 – Структура и числения  състав на Предприятието и Приложение №2 </w:t>
      </w:r>
      <w:r>
        <w:rPr>
          <w:rFonts w:eastAsia="Calibri"/>
          <w:b/>
          <w:lang w:eastAsia="en-US"/>
        </w:rPr>
        <w:t>-</w:t>
      </w:r>
      <w:r>
        <w:rPr>
          <w:rFonts w:eastAsia="Calibri"/>
          <w:lang w:eastAsia="en-US"/>
        </w:rPr>
        <w:t xml:space="preserve"> Опис на предоставеното за управление имущество към 30.06.2020г., неразделни части от Правилника за устройството и дейността на ОП „Младежки център Пловдив“.</w:t>
      </w:r>
    </w:p>
    <w:p>
      <w:pPr>
        <w:pStyle w:val="Normal"/>
        <w:spacing w:lineRule="auto" w:line="276" w:before="0" w:after="200"/>
        <w:ind w:firstLine="708"/>
        <w:jc w:val="both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  <w:t xml:space="preserve">Финансови средства, необходими за приемане на Правилника. </w:t>
      </w:r>
    </w:p>
    <w:p>
      <w:pPr>
        <w:pStyle w:val="Normal"/>
        <w:spacing w:lineRule="auto" w:line="276" w:before="0" w:after="200"/>
        <w:ind w:firstLine="708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lang w:eastAsia="en-US"/>
        </w:rPr>
        <w:t xml:space="preserve">За приемането нов Правилник за устройството и дейността на ОП „Младежки център Пловдив“ не е необходимо разходването на допълнителни бюджетни средства. </w:t>
      </w:r>
    </w:p>
    <w:p>
      <w:pPr>
        <w:pStyle w:val="Normal"/>
        <w:spacing w:lineRule="auto" w:line="276" w:before="0" w:after="200"/>
        <w:ind w:firstLine="709"/>
        <w:jc w:val="both"/>
        <w:rPr>
          <w:rFonts w:eastAsia="Calibri"/>
          <w:b/>
          <w:b/>
          <w:spacing w:val="-2"/>
          <w:lang w:eastAsia="en-US"/>
        </w:rPr>
      </w:pPr>
      <w:r>
        <w:rPr>
          <w:rFonts w:eastAsia="Calibri"/>
          <w:b/>
          <w:spacing w:val="-2"/>
          <w:lang w:eastAsia="en-US"/>
        </w:rPr>
        <w:t>Очаквани резултати</w:t>
      </w:r>
    </w:p>
    <w:p>
      <w:pPr>
        <w:pStyle w:val="Normal"/>
        <w:shd w:val="clear" w:color="auto" w:fill="FFFFFF"/>
        <w:spacing w:lineRule="auto" w:line="276" w:before="0" w:after="20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Очакваните резултати са: обективно регистриране и счетоводно отчитане на материалните активи, предоставените за управление на ОП „Младежки център Пловдив“, както и привеждането на текстовете на Правилника в съответствие с текстовете на Наредбата за създаване, управление и контрол върху дейността на общинските предприятия на община Пловдив по гл. VI от ЗОС. </w:t>
      </w:r>
    </w:p>
    <w:p>
      <w:pPr>
        <w:pStyle w:val="Normal"/>
        <w:shd w:val="clear" w:color="auto" w:fill="FFFFFF"/>
        <w:spacing w:lineRule="auto" w:line="276" w:before="0" w:after="200"/>
        <w:ind w:firstLine="709"/>
        <w:jc w:val="both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  <w:t xml:space="preserve">Анализ за съответствие с правото на Европейския съюз </w:t>
      </w:r>
    </w:p>
    <w:p>
      <w:pPr>
        <w:pStyle w:val="Normal"/>
        <w:shd w:val="clear" w:color="auto" w:fill="FFFFFF"/>
        <w:spacing w:lineRule="auto" w:line="276" w:before="0" w:after="20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Предлаганото приемане на нов Правилник за устройството и дейността на ОП „Младежки център Пловдив“ </w:t>
      </w:r>
      <w:r>
        <w:rPr>
          <w:rFonts w:eastAsia="Calibri"/>
          <w:color w:val="000000"/>
          <w:spacing w:val="8"/>
          <w:lang w:eastAsia="en-US"/>
        </w:rPr>
        <w:t>са</w:t>
      </w:r>
      <w:r>
        <w:rPr>
          <w:rFonts w:eastAsia="Calibri"/>
          <w:lang w:eastAsia="en-US"/>
        </w:rPr>
        <w:t xml:space="preserve"> в съответствие с нормативните актове от по</w:t>
      </w:r>
      <w:r>
        <w:rPr>
          <w:rFonts w:eastAsia="Calibri"/>
          <w:b/>
          <w:lang w:eastAsia="en-US"/>
        </w:rPr>
        <w:t>-</w:t>
      </w:r>
      <w:r>
        <w:rPr>
          <w:rFonts w:eastAsia="Calibri"/>
          <w:lang w:eastAsia="en-US"/>
        </w:rPr>
        <w:t>висока степен, както и с тези на европейското законодателство.</w:t>
      </w:r>
    </w:p>
    <w:p>
      <w:pPr>
        <w:pStyle w:val="Normal"/>
        <w:shd w:val="clear" w:color="auto" w:fill="FFFFFF"/>
        <w:spacing w:lineRule="auto" w:line="276" w:before="0" w:after="20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Приемането на нов Правилник за устройството и дейността на ОП „Младежки център Пловдив“ е подзаконов нормативен акт за прилагане на отделни разпоредби на Закона за местното самоуправление и местната администрация, Закона за общинската собственост, Закона за нормативните актове, Наредбата за създаване, управление и контрол върху дейността на общинските предприятия по глава VІ от Закона за общинската собственост и други приложими законови разпоредби, поради което съответствието й с правото на Европейския съюз е предопределено от съответствието на цитираните нормативни актове с правото на Европейския съюз и доколкото тези норми са транспонирани и въведени в националното законодателство на РБ.</w:t>
      </w:r>
    </w:p>
    <w:p>
      <w:pPr>
        <w:pStyle w:val="Normal"/>
        <w:shd w:val="clear" w:color="auto" w:fill="FFFFFF"/>
        <w:spacing w:lineRule="auto" w:line="276" w:before="0" w:after="200"/>
        <w:ind w:firstLine="708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lang w:eastAsia="en-US"/>
        </w:rPr>
        <w:t xml:space="preserve">Проектът на подзаконовия нормативен акт е публикуван на официалната страница на община Пловдив на </w:t>
      </w:r>
      <w:r>
        <w:rPr>
          <w:rFonts w:eastAsia="Calibri"/>
          <w:b/>
          <w:lang w:eastAsia="en-US"/>
        </w:rPr>
        <w:t>1</w:t>
      </w:r>
      <w:r>
        <w:rPr>
          <w:rFonts w:eastAsia="Calibri"/>
          <w:b/>
          <w:lang w:eastAsia="en-US"/>
        </w:rPr>
        <w:t>4</w:t>
      </w:r>
      <w:r>
        <w:rPr>
          <w:rFonts w:eastAsia="Calibri"/>
          <w:b/>
          <w:lang w:eastAsia="en-US"/>
        </w:rPr>
        <w:t>.09</w:t>
      </w:r>
      <w:bookmarkStart w:id="0" w:name="_GoBack"/>
      <w:bookmarkEnd w:id="0"/>
      <w:r>
        <w:rPr>
          <w:rFonts w:eastAsia="Calibri"/>
          <w:b/>
          <w:lang w:eastAsia="en-US"/>
        </w:rPr>
        <w:t>.2020г</w:t>
      </w:r>
      <w:r>
        <w:rPr>
          <w:rFonts w:eastAsia="Calibri"/>
          <w:lang w:eastAsia="en-US"/>
        </w:rPr>
        <w:t>.</w:t>
      </w:r>
    </w:p>
    <w:p>
      <w:pPr>
        <w:pStyle w:val="Normal"/>
        <w:spacing w:lineRule="auto" w:line="276" w:before="0" w:after="20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След изтичане на законовия 30</w:t>
      </w:r>
      <w:r>
        <w:rPr>
          <w:rFonts w:eastAsia="Calibri"/>
          <w:b/>
          <w:lang w:eastAsia="en-US"/>
        </w:rPr>
        <w:t>-</w:t>
      </w:r>
      <w:r>
        <w:rPr>
          <w:rFonts w:eastAsia="Calibri"/>
          <w:lang w:eastAsia="en-US"/>
        </w:rPr>
        <w:t>дневен срок, предложенията и становищата по проекта на нов Правилник за устройството и дейността на ОП „Младежки център Пловдив“ ще бъдат взети предвид и ще са публикувани на интернет страницата на община Пловдив. Публикуваната справка ще отразява постъпилите предложения заедно с обосновка за неприетите предложения, като същите ще бъдат оповестени от вносителя.</w:t>
      </w:r>
    </w:p>
    <w:p>
      <w:pPr>
        <w:pStyle w:val="Normal"/>
        <w:spacing w:lineRule="auto" w:line="276" w:before="0" w:after="20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Правни основания: </w:t>
      </w:r>
      <w:r>
        <w:rPr>
          <w:rFonts w:eastAsia="Calibri"/>
          <w:lang w:eastAsia="en-US"/>
        </w:rPr>
        <w:t xml:space="preserve">На основание разпоредбите на </w:t>
      </w:r>
      <w:r>
        <w:rPr/>
        <w:t>чл. 21, ал.1, т.23 и ал.2 от ЗМСМА, във връзка с чл.52, ал.3 и ал.4 от Закона за общинската собственост, във връзка с чл.3, ал.8, ал.9 и ал.11 и §2 от Допълнителните разпоредби от Наредбата за създаване, управление и контрол върху дейността на общинските предприятия по гл.VІ от ЗОС, при спазване изискванията на чл.11, ал.3, чл.15, ал.1, чл.18а, чл.19, ал.1, чл.20, чл.26 и чл.28 от ЗНА и във връзка с чл. 75, чл. 76, чл. 77 и чл. 79 от АПК.</w:t>
      </w:r>
    </w:p>
    <w:p>
      <w:pPr>
        <w:pStyle w:val="Normal"/>
        <w:spacing w:lineRule="auto" w:line="276" w:before="0" w:after="200"/>
        <w:jc w:val="center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  <w:t>ПРОЕКТ НА РЕШЕНИЕ: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spacing w:lineRule="auto" w:line="276" w:before="0" w:after="200"/>
        <w:ind w:left="1134" w:hanging="41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Приема нов Правилник за устройството и дейността на ОП „Младежки център Пловдив“, ведно с </w:t>
      </w:r>
      <w:r>
        <w:rPr>
          <w:rFonts w:eastAsia="Calibri"/>
          <w:lang w:val="ru-RU" w:eastAsia="en-US"/>
        </w:rPr>
        <w:t>Приложение №1 – Структура и числен състав на предприятието и Приложение №2 – Опис на предоставеното за управление имущество към 30.06.2020г., и двете неразделна част от Правилника</w:t>
      </w:r>
      <w:r>
        <w:rPr>
          <w:rFonts w:eastAsia="Calibri"/>
          <w:lang w:eastAsia="en-US"/>
        </w:rPr>
        <w:t>.</w:t>
      </w:r>
    </w:p>
    <w:p>
      <w:pPr>
        <w:pStyle w:val="Normal"/>
        <w:spacing w:lineRule="auto" w:line="276" w:before="0" w:after="200"/>
        <w:ind w:firstLine="900"/>
        <w:jc w:val="both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</w:r>
    </w:p>
    <w:p>
      <w:pPr>
        <w:pStyle w:val="Normal"/>
        <w:spacing w:lineRule="auto" w:line="276" w:before="0" w:after="200"/>
        <w:ind w:firstLine="90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Приложения:</w:t>
      </w:r>
    </w:p>
    <w:p>
      <w:pPr>
        <w:pStyle w:val="Normal"/>
        <w:numPr>
          <w:ilvl w:val="0"/>
          <w:numId w:val="2"/>
        </w:numPr>
        <w:spacing w:lineRule="auto" w:line="276" w:before="0" w:after="20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Приложение №1 - </w:t>
      </w:r>
      <w:r>
        <w:rPr>
          <w:rFonts w:eastAsia="Calibri"/>
          <w:lang w:eastAsia="en-US"/>
        </w:rPr>
        <w:t xml:space="preserve">нов Правилник за устройството и дейността на ОП „Младежки център Пловдив“, ведно с Приложение №1 </w:t>
      </w:r>
      <w:r>
        <w:rPr>
          <w:rFonts w:eastAsia="Calibri"/>
          <w:lang w:val="ru-RU" w:eastAsia="en-US"/>
        </w:rPr>
        <w:t>Структура и числен състав на предприятието и Приложение №2 – Опис на предоставеното за управление имущество към 30.06.2020г.,</w:t>
      </w:r>
      <w:r>
        <w:rPr>
          <w:rFonts w:eastAsia="Calibri"/>
          <w:lang w:eastAsia="en-US"/>
        </w:rPr>
        <w:t xml:space="preserve"> и двете неразделна част от Правилника.</w:t>
      </w:r>
    </w:p>
    <w:p>
      <w:pPr>
        <w:pStyle w:val="Normal"/>
        <w:numPr>
          <w:ilvl w:val="0"/>
          <w:numId w:val="2"/>
        </w:numPr>
        <w:spacing w:lineRule="auto" w:line="276" w:before="0" w:after="20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Приложение №2</w:t>
      </w:r>
      <w:r>
        <w:rPr>
          <w:rFonts w:eastAsia="Calibri"/>
          <w:lang w:eastAsia="en-US"/>
        </w:rPr>
        <w:t xml:space="preserve"> – Предварителна оценка на въздействието. </w:t>
      </w:r>
    </w:p>
    <w:p>
      <w:pPr>
        <w:pStyle w:val="Default"/>
        <w:jc w:val="both"/>
        <w:rPr>
          <w:b/>
          <w:b/>
          <w:lang w:eastAsia="bg-BG"/>
        </w:rPr>
      </w:pPr>
      <w:r>
        <w:rPr>
          <w:b/>
          <w:lang w:eastAsia="bg-BG"/>
        </w:rPr>
      </w:r>
    </w:p>
    <w:p>
      <w:pPr>
        <w:pStyle w:val="Default"/>
        <w:jc w:val="center"/>
        <w:rPr>
          <w:b/>
          <w:b/>
          <w:lang w:eastAsia="bg-BG"/>
        </w:rPr>
      </w:pPr>
      <w:r>
        <w:rPr>
          <w:b/>
          <w:lang w:eastAsia="bg-BG"/>
        </w:rPr>
      </w:r>
    </w:p>
    <w:p>
      <w:pPr>
        <w:pStyle w:val="Default"/>
        <w:jc w:val="center"/>
        <w:rPr>
          <w:b/>
          <w:b/>
          <w:lang w:eastAsia="bg-BG"/>
        </w:rPr>
      </w:pPr>
      <w:r>
        <w:rPr>
          <w:b/>
          <w:lang w:eastAsia="bg-BG"/>
        </w:rPr>
      </w:r>
    </w:p>
    <w:p>
      <w:pPr>
        <w:pStyle w:val="Default"/>
        <w:jc w:val="center"/>
        <w:rPr>
          <w:b/>
          <w:b/>
          <w:lang w:eastAsia="bg-BG"/>
        </w:rPr>
      </w:pPr>
      <w:r>
        <w:rPr>
          <w:b/>
          <w:lang w:eastAsia="bg-BG"/>
        </w:rPr>
      </w:r>
    </w:p>
    <w:p>
      <w:pPr>
        <w:pStyle w:val="Default"/>
        <w:jc w:val="center"/>
        <w:rPr>
          <w:b/>
          <w:b/>
          <w:lang w:eastAsia="bg-BG"/>
        </w:rPr>
      </w:pPr>
      <w:r>
        <w:rPr>
          <w:b/>
          <w:lang w:eastAsia="bg-BG"/>
        </w:rPr>
      </w:r>
    </w:p>
    <w:p>
      <w:pPr>
        <w:pStyle w:val="Default"/>
        <w:jc w:val="center"/>
        <w:rPr>
          <w:b/>
          <w:b/>
          <w:lang w:eastAsia="bg-BG"/>
        </w:rPr>
      </w:pPr>
      <w:r>
        <w:rPr>
          <w:b/>
          <w:lang w:eastAsia="bg-BG"/>
        </w:rPr>
      </w:r>
    </w:p>
    <w:p>
      <w:pPr>
        <w:pStyle w:val="Default"/>
        <w:jc w:val="center"/>
        <w:rPr>
          <w:b/>
          <w:b/>
          <w:lang w:eastAsia="bg-BG"/>
        </w:rPr>
      </w:pPr>
      <w:r>
        <w:rPr>
          <w:b/>
          <w:lang w:eastAsia="bg-BG"/>
        </w:rPr>
      </w:r>
    </w:p>
    <w:p>
      <w:pPr>
        <w:pStyle w:val="Default"/>
        <w:jc w:val="center"/>
        <w:rPr>
          <w:b/>
          <w:b/>
          <w:lang w:eastAsia="bg-BG"/>
        </w:rPr>
      </w:pPr>
      <w:r>
        <w:rPr>
          <w:b/>
          <w:lang w:eastAsia="bg-BG"/>
        </w:rPr>
      </w:r>
    </w:p>
    <w:p>
      <w:pPr>
        <w:pStyle w:val="Default"/>
        <w:jc w:val="center"/>
        <w:rPr>
          <w:b/>
          <w:b/>
          <w:lang w:eastAsia="bg-BG"/>
        </w:rPr>
      </w:pPr>
      <w:r>
        <w:rPr>
          <w:b/>
          <w:lang w:eastAsia="bg-BG"/>
        </w:rPr>
      </w:r>
    </w:p>
    <w:p>
      <w:pPr>
        <w:pStyle w:val="Default"/>
        <w:jc w:val="center"/>
        <w:rPr>
          <w:b/>
          <w:b/>
          <w:lang w:eastAsia="bg-BG"/>
        </w:rPr>
      </w:pPr>
      <w:r>
        <w:rPr>
          <w:b/>
          <w:lang w:eastAsia="bg-BG"/>
        </w:rPr>
      </w:r>
    </w:p>
    <w:p>
      <w:pPr>
        <w:pStyle w:val="Default"/>
        <w:jc w:val="center"/>
        <w:rPr>
          <w:b/>
          <w:b/>
          <w:lang w:eastAsia="bg-BG"/>
        </w:rPr>
      </w:pPr>
      <w:r>
        <w:rPr>
          <w:b/>
          <w:lang w:eastAsia="bg-BG"/>
        </w:rPr>
      </w:r>
    </w:p>
    <w:p>
      <w:pPr>
        <w:pStyle w:val="Default"/>
        <w:jc w:val="center"/>
        <w:rPr>
          <w:b/>
          <w:b/>
          <w:lang w:eastAsia="bg-BG"/>
        </w:rPr>
      </w:pPr>
      <w:r>
        <w:rPr>
          <w:b/>
          <w:lang w:eastAsia="bg-BG"/>
        </w:rPr>
      </w:r>
    </w:p>
    <w:p>
      <w:pPr>
        <w:pStyle w:val="Default"/>
        <w:jc w:val="center"/>
        <w:rPr>
          <w:b/>
          <w:b/>
          <w:lang w:eastAsia="bg-BG"/>
        </w:rPr>
      </w:pPr>
      <w:r>
        <w:rPr>
          <w:b/>
          <w:lang w:eastAsia="bg-BG"/>
        </w:rPr>
      </w:r>
    </w:p>
    <w:p>
      <w:pPr>
        <w:pStyle w:val="Default"/>
        <w:jc w:val="center"/>
        <w:rPr>
          <w:b/>
          <w:b/>
          <w:lang w:eastAsia="bg-BG"/>
        </w:rPr>
      </w:pPr>
      <w:r>
        <w:rPr>
          <w:b/>
          <w:lang w:eastAsia="bg-BG"/>
        </w:rPr>
      </w:r>
    </w:p>
    <w:p>
      <w:pPr>
        <w:pStyle w:val="Default"/>
        <w:jc w:val="center"/>
        <w:rPr>
          <w:b/>
          <w:b/>
          <w:lang w:eastAsia="bg-BG"/>
        </w:rPr>
      </w:pPr>
      <w:r>
        <w:rPr>
          <w:b/>
          <w:lang w:eastAsia="bg-BG"/>
        </w:rPr>
      </w:r>
    </w:p>
    <w:p>
      <w:pPr>
        <w:pStyle w:val="Default"/>
        <w:jc w:val="center"/>
        <w:rPr>
          <w:b/>
          <w:b/>
          <w:lang w:eastAsia="bg-BG"/>
        </w:rPr>
      </w:pPr>
      <w:r>
        <w:rPr>
          <w:b/>
          <w:lang w:eastAsia="bg-BG"/>
        </w:rPr>
      </w:r>
    </w:p>
    <w:p>
      <w:pPr>
        <w:pStyle w:val="Default"/>
        <w:jc w:val="center"/>
        <w:rPr>
          <w:b/>
          <w:b/>
          <w:lang w:eastAsia="bg-BG"/>
        </w:rPr>
      </w:pPr>
      <w:r>
        <w:rPr>
          <w:b/>
          <w:lang w:eastAsia="bg-BG"/>
        </w:rPr>
      </w:r>
    </w:p>
    <w:p>
      <w:pPr>
        <w:pStyle w:val="Default"/>
        <w:jc w:val="center"/>
        <w:rPr>
          <w:b/>
          <w:b/>
          <w:lang w:eastAsia="bg-BG"/>
        </w:rPr>
      </w:pPr>
      <w:r>
        <w:rPr>
          <w:b/>
          <w:lang w:eastAsia="bg-BG"/>
        </w:rPr>
      </w:r>
    </w:p>
    <w:p>
      <w:pPr>
        <w:pStyle w:val="Default"/>
        <w:jc w:val="center"/>
        <w:rPr>
          <w:b/>
          <w:b/>
          <w:lang w:eastAsia="bg-BG"/>
        </w:rPr>
      </w:pPr>
      <w:r>
        <w:rPr>
          <w:b/>
          <w:lang w:eastAsia="bg-BG"/>
        </w:rPr>
      </w:r>
    </w:p>
    <w:p>
      <w:pPr>
        <w:pStyle w:val="Default"/>
        <w:jc w:val="center"/>
        <w:rPr>
          <w:b/>
          <w:b/>
          <w:lang w:eastAsia="bg-BG"/>
        </w:rPr>
      </w:pPr>
      <w:r>
        <w:rPr>
          <w:b/>
          <w:lang w:eastAsia="bg-BG"/>
        </w:rPr>
      </w:r>
    </w:p>
    <w:p>
      <w:pPr>
        <w:pStyle w:val="Default"/>
        <w:jc w:val="center"/>
        <w:rPr>
          <w:b/>
          <w:b/>
          <w:lang w:eastAsia="bg-BG"/>
        </w:rPr>
      </w:pPr>
      <w:r>
        <w:rPr>
          <w:b/>
          <w:lang w:eastAsia="bg-BG"/>
        </w:rPr>
      </w:r>
    </w:p>
    <w:p>
      <w:pPr>
        <w:pStyle w:val="Default"/>
        <w:jc w:val="center"/>
        <w:rPr>
          <w:b/>
          <w:b/>
          <w:lang w:eastAsia="bg-BG"/>
        </w:rPr>
      </w:pPr>
      <w:r>
        <w:rPr>
          <w:b/>
          <w:lang w:eastAsia="bg-BG"/>
        </w:rPr>
      </w:r>
    </w:p>
    <w:p>
      <w:pPr>
        <w:pStyle w:val="Default"/>
        <w:jc w:val="center"/>
        <w:rPr>
          <w:b/>
          <w:b/>
          <w:lang w:eastAsia="bg-BG"/>
        </w:rPr>
      </w:pPr>
      <w:r>
        <w:rPr>
          <w:b/>
          <w:lang w:eastAsia="bg-BG"/>
        </w:rPr>
      </w:r>
    </w:p>
    <w:p>
      <w:pPr>
        <w:pStyle w:val="Default"/>
        <w:jc w:val="center"/>
        <w:rPr>
          <w:b/>
          <w:b/>
          <w:lang w:eastAsia="bg-BG"/>
        </w:rPr>
      </w:pPr>
      <w:r>
        <w:rPr>
          <w:b/>
          <w:lang w:eastAsia="bg-BG"/>
        </w:rPr>
      </w:r>
    </w:p>
    <w:p>
      <w:pPr>
        <w:pStyle w:val="Default"/>
        <w:jc w:val="center"/>
        <w:rPr>
          <w:b/>
          <w:b/>
          <w:lang w:eastAsia="bg-BG"/>
        </w:rPr>
      </w:pPr>
      <w:r>
        <w:rPr>
          <w:b/>
          <w:lang w:eastAsia="bg-BG"/>
        </w:rPr>
      </w:r>
    </w:p>
    <w:p>
      <w:pPr>
        <w:pStyle w:val="Default"/>
        <w:jc w:val="center"/>
        <w:rPr>
          <w:b/>
          <w:b/>
          <w:lang w:eastAsia="bg-BG"/>
        </w:rPr>
      </w:pPr>
      <w:r>
        <w:rPr>
          <w:b/>
          <w:lang w:eastAsia="bg-BG"/>
        </w:rPr>
      </w:r>
    </w:p>
    <w:p>
      <w:pPr>
        <w:pStyle w:val="Default"/>
        <w:jc w:val="center"/>
        <w:rPr>
          <w:b/>
          <w:b/>
          <w:lang w:eastAsia="bg-BG"/>
        </w:rPr>
      </w:pPr>
      <w:r>
        <w:rPr>
          <w:b/>
          <w:lang w:eastAsia="bg-BG"/>
        </w:rPr>
      </w:r>
    </w:p>
    <w:p>
      <w:pPr>
        <w:pStyle w:val="Default"/>
        <w:jc w:val="center"/>
        <w:rPr>
          <w:b/>
          <w:b/>
          <w:lang w:eastAsia="bg-BG"/>
        </w:rPr>
      </w:pPr>
      <w:r>
        <w:rPr>
          <w:b/>
          <w:lang w:eastAsia="bg-BG"/>
        </w:rPr>
      </w:r>
    </w:p>
    <w:p>
      <w:pPr>
        <w:pStyle w:val="Default"/>
        <w:jc w:val="center"/>
        <w:rPr>
          <w:b/>
          <w:b/>
          <w:lang w:eastAsia="bg-BG"/>
        </w:rPr>
      </w:pPr>
      <w:r>
        <w:rPr>
          <w:b/>
          <w:lang w:eastAsia="bg-BG"/>
        </w:rPr>
      </w:r>
    </w:p>
    <w:p>
      <w:pPr>
        <w:pStyle w:val="Default"/>
        <w:jc w:val="center"/>
        <w:rPr>
          <w:b/>
          <w:b/>
          <w:lang w:eastAsia="bg-BG"/>
        </w:rPr>
      </w:pPr>
      <w:r>
        <w:rPr>
          <w:b/>
          <w:lang w:eastAsia="bg-BG"/>
        </w:rPr>
      </w:r>
    </w:p>
    <w:p>
      <w:pPr>
        <w:pStyle w:val="Default"/>
        <w:jc w:val="center"/>
        <w:rPr>
          <w:b/>
          <w:b/>
          <w:lang w:eastAsia="bg-BG"/>
        </w:rPr>
      </w:pPr>
      <w:r>
        <w:rPr>
          <w:b/>
          <w:lang w:eastAsia="bg-BG"/>
        </w:rPr>
      </w:r>
    </w:p>
    <w:p>
      <w:pPr>
        <w:pStyle w:val="Default"/>
        <w:jc w:val="center"/>
        <w:rPr>
          <w:b/>
          <w:b/>
          <w:lang w:eastAsia="bg-BG"/>
        </w:rPr>
      </w:pPr>
      <w:r>
        <w:rPr>
          <w:b/>
          <w:lang w:eastAsia="bg-BG"/>
        </w:rPr>
      </w:r>
    </w:p>
    <w:p>
      <w:pPr>
        <w:pStyle w:val="Default"/>
        <w:jc w:val="center"/>
        <w:rPr>
          <w:b/>
          <w:b/>
          <w:lang w:eastAsia="bg-BG"/>
        </w:rPr>
      </w:pPr>
      <w:r>
        <w:rPr>
          <w:b/>
          <w:lang w:eastAsia="bg-BG"/>
        </w:rPr>
      </w:r>
    </w:p>
    <w:p>
      <w:pPr>
        <w:pStyle w:val="Default"/>
        <w:jc w:val="center"/>
        <w:rPr/>
      </w:pPr>
      <w:r>
        <w:rPr/>
      </w:r>
    </w:p>
    <w:sectPr>
      <w:footerReference w:type="default" r:id="rId2"/>
      <w:type w:val="nextPage"/>
      <w:pgSz w:w="11906" w:h="16838"/>
      <w:pgMar w:left="1276" w:right="1417" w:header="0" w:top="993" w:footer="708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31535384"/>
    </w:sdtPr>
    <w:sdtContent>
      <w:p>
        <w:pPr>
          <w:pStyle w:val="Style25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yle25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260" w:hanging="360"/>
      </w:pPr>
      <w:rPr>
        <w:b/>
        <w:rFonts w:cs="Times New Roman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i w:val="false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bg-BG" w:eastAsia="bg-BG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bg-BG" w:eastAsia="bg-BG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la" w:customStyle="1">
    <w:name w:val="al_a"/>
    <w:basedOn w:val="DefaultParagraphFont"/>
    <w:uiPriority w:val="99"/>
    <w:qFormat/>
    <w:rsid w:val="00253321"/>
    <w:rPr/>
  </w:style>
  <w:style w:type="character" w:styleId="Appleconvertedspace" w:customStyle="1">
    <w:name w:val="apple-converted-space"/>
    <w:basedOn w:val="DefaultParagraphFont"/>
    <w:qFormat/>
    <w:rsid w:val="003f76fa"/>
    <w:rPr/>
  </w:style>
  <w:style w:type="character" w:styleId="Hps" w:customStyle="1">
    <w:name w:val="hps"/>
    <w:basedOn w:val="DefaultParagraphFont"/>
    <w:qFormat/>
    <w:rsid w:val="00253321"/>
    <w:rPr/>
  </w:style>
  <w:style w:type="character" w:styleId="Style14">
    <w:name w:val="Връзка към Интернет"/>
    <w:basedOn w:val="DefaultParagraphFont"/>
    <w:uiPriority w:val="99"/>
    <w:unhideWhenUsed/>
    <w:rsid w:val="0073103a"/>
    <w:rPr>
      <w:color w:val="0000FF"/>
      <w:u w:val="single"/>
    </w:rPr>
  </w:style>
  <w:style w:type="character" w:styleId="Style15" w:customStyle="1">
    <w:name w:val="Изнесен текст Знак"/>
    <w:basedOn w:val="DefaultParagraphFont"/>
    <w:link w:val="a5"/>
    <w:semiHidden/>
    <w:qFormat/>
    <w:rsid w:val="00e25862"/>
    <w:rPr>
      <w:rFonts w:ascii="Segoe UI" w:hAnsi="Segoe UI" w:cs="Segoe UI"/>
      <w:sz w:val="18"/>
      <w:szCs w:val="18"/>
    </w:rPr>
  </w:style>
  <w:style w:type="character" w:styleId="3" w:customStyle="1">
    <w:name w:val="Основен текст 3 Знак"/>
    <w:basedOn w:val="DefaultParagraphFont"/>
    <w:link w:val="3"/>
    <w:uiPriority w:val="99"/>
    <w:qFormat/>
    <w:rsid w:val="00487c97"/>
    <w:rPr>
      <w:sz w:val="16"/>
      <w:szCs w:val="16"/>
      <w:lang w:val="en-GB"/>
    </w:rPr>
  </w:style>
  <w:style w:type="character" w:styleId="Style16">
    <w:name w:val="Акцентиран"/>
    <w:uiPriority w:val="20"/>
    <w:qFormat/>
    <w:rsid w:val="00487c97"/>
    <w:rPr>
      <w:i/>
      <w:iCs/>
    </w:rPr>
  </w:style>
  <w:style w:type="character" w:styleId="Style17" w:customStyle="1">
    <w:name w:val="Горен колонтитул Знак"/>
    <w:basedOn w:val="DefaultParagraphFont"/>
    <w:link w:val="a9"/>
    <w:qFormat/>
    <w:rsid w:val="00dd5ddd"/>
    <w:rPr>
      <w:sz w:val="24"/>
      <w:szCs w:val="24"/>
    </w:rPr>
  </w:style>
  <w:style w:type="character" w:styleId="Style18" w:customStyle="1">
    <w:name w:val="Долен колонтитул Знак"/>
    <w:basedOn w:val="DefaultParagraphFont"/>
    <w:link w:val="ab"/>
    <w:uiPriority w:val="99"/>
    <w:qFormat/>
    <w:rsid w:val="00dd5ddd"/>
    <w:rPr>
      <w:sz w:val="24"/>
      <w:szCs w:val="24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b/>
      <w:i w:val="false"/>
      <w:color w:val="auto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Times New Roman"/>
      <w:b/>
      <w:i w:val="false"/>
      <w:color w:val="000000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b/>
      <w:i w:val="false"/>
    </w:rPr>
  </w:style>
  <w:style w:type="character" w:styleId="ListLabel24">
    <w:name w:val="ListLabel 24"/>
    <w:qFormat/>
    <w:rPr>
      <w:rFonts w:cs="Times New Roman"/>
      <w:b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  <w:i w:val="false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eastAsia="Times New Roman" w:cs="Times New Roman"/>
      <w:b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paragraph" w:styleId="Style19">
    <w:name w:val="Заглавие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"/>
    <w:basedOn w:val="Normal"/>
    <w:qFormat/>
    <w:pPr>
      <w:suppressLineNumbers/>
    </w:pPr>
    <w:rPr>
      <w:rFonts w:cs="Lohit Devanagari"/>
    </w:rPr>
  </w:style>
  <w:style w:type="paragraph" w:styleId="Default" w:customStyle="1">
    <w:name w:val="Default"/>
    <w:uiPriority w:val="99"/>
    <w:qFormat/>
    <w:rsid w:val="00766ca8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n-US" w:eastAsia="en-US" w:bidi="ar-SA"/>
    </w:rPr>
  </w:style>
  <w:style w:type="paragraph" w:styleId="NormalWeb">
    <w:name w:val="Normal (Web)"/>
    <w:basedOn w:val="Normal"/>
    <w:uiPriority w:val="99"/>
    <w:unhideWhenUsed/>
    <w:qFormat/>
    <w:rsid w:val="00876445"/>
    <w:pPr>
      <w:spacing w:beforeAutospacing="1" w:afterAutospacing="1"/>
    </w:pPr>
    <w:rPr/>
  </w:style>
  <w:style w:type="paragraph" w:styleId="BalloonText">
    <w:name w:val="Balloon Text"/>
    <w:basedOn w:val="Normal"/>
    <w:link w:val="a6"/>
    <w:semiHidden/>
    <w:unhideWhenUsed/>
    <w:qFormat/>
    <w:rsid w:val="00e25862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775a"/>
    <w:pPr>
      <w:spacing w:before="0" w:after="0"/>
      <w:ind w:left="720" w:hanging="0"/>
      <w:contextualSpacing/>
    </w:pPr>
    <w:rPr/>
  </w:style>
  <w:style w:type="paragraph" w:styleId="BodyText3">
    <w:name w:val="Body Text 3"/>
    <w:basedOn w:val="Normal"/>
    <w:link w:val="30"/>
    <w:qFormat/>
    <w:rsid w:val="00487c97"/>
    <w:pPr>
      <w:spacing w:before="0" w:after="120"/>
    </w:pPr>
    <w:rPr>
      <w:sz w:val="16"/>
      <w:szCs w:val="16"/>
      <w:lang w:val="en-GB"/>
    </w:rPr>
  </w:style>
  <w:style w:type="paragraph" w:styleId="Style24">
    <w:name w:val="Header"/>
    <w:basedOn w:val="Normal"/>
    <w:link w:val="aa"/>
    <w:unhideWhenUsed/>
    <w:rsid w:val="00dd5ddd"/>
    <w:pPr>
      <w:tabs>
        <w:tab w:val="center" w:pos="4536" w:leader="none"/>
        <w:tab w:val="right" w:pos="9072" w:leader="none"/>
      </w:tabs>
    </w:pPr>
    <w:rPr/>
  </w:style>
  <w:style w:type="paragraph" w:styleId="Style25">
    <w:name w:val="Footer"/>
    <w:basedOn w:val="Normal"/>
    <w:link w:val="ac"/>
    <w:uiPriority w:val="99"/>
    <w:unhideWhenUsed/>
    <w:rsid w:val="00dd5ddd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60580-D1A8-47E5-BAC8-CFD4882B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LibreOffice/6.0.7.3$Linux_X86_64 LibreOffice_project/00m0$Build-3</Application>
  <Pages>4</Pages>
  <Words>1308</Words>
  <Characters>7557</Characters>
  <CharactersWithSpaces>8991</CharactersWithSpaces>
  <Paragraphs>39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2020-09-11T11:50:00Z</dcterms:created>
  <dc:creator>TYurieva</dc:creator>
  <dc:description/>
  <dc:language>bg-BG</dc:language>
  <cp:lastModifiedBy/>
  <cp:lastPrinted>2020-09-11T11:49:00Z</cp:lastPrinted>
  <dcterms:modified xsi:type="dcterms:W3CDTF">2020-09-14T18:35:51Z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